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B799D" w:rsidRDefault="00CC1E6B">
      <w:r>
        <w:rPr>
          <w:noProof/>
        </w:rPr>
        <w:drawing>
          <wp:anchor distT="0" distB="0" distL="114300" distR="114300" simplePos="0" relativeHeight="251658240" behindDoc="0" locked="0" layoutInCell="1" hidden="0" allowOverlap="1" wp14:anchorId="5E790B64" wp14:editId="164EC96B">
            <wp:simplePos x="0" y="0"/>
            <wp:positionH relativeFrom="page">
              <wp:posOffset>0</wp:posOffset>
            </wp:positionH>
            <wp:positionV relativeFrom="page">
              <wp:posOffset>-7815</wp:posOffset>
            </wp:positionV>
            <wp:extent cx="7764780" cy="5024755"/>
            <wp:effectExtent l="0" t="0" r="0" b="4445"/>
            <wp:wrapTopAndBottom distT="0" distB="0"/>
            <wp:docPr id="232"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2" name="image2.jpg">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rcRect t="1418" b="1418"/>
                    <a:stretch>
                      <a:fillRect/>
                    </a:stretch>
                  </pic:blipFill>
                  <pic:spPr>
                    <a:xfrm flipH="1">
                      <a:off x="0" y="0"/>
                      <a:ext cx="7764780" cy="5024755"/>
                    </a:xfrm>
                    <a:prstGeom prst="rect">
                      <a:avLst/>
                    </a:prstGeom>
                    <a:ln/>
                  </pic:spPr>
                </pic:pic>
              </a:graphicData>
            </a:graphic>
          </wp:anchor>
        </w:drawing>
      </w:r>
      <w:r>
        <w:rPr>
          <w:smallCaps/>
          <w:noProof/>
        </w:rPr>
        <w:drawing>
          <wp:anchor distT="0" distB="0" distL="114300" distR="114300" simplePos="0" relativeHeight="251658241" behindDoc="0" locked="0" layoutInCell="1" hidden="0" allowOverlap="1" wp14:anchorId="59E52D33" wp14:editId="6791B92D">
            <wp:simplePos x="0" y="0"/>
            <wp:positionH relativeFrom="margin">
              <wp:posOffset>-278764</wp:posOffset>
            </wp:positionH>
            <wp:positionV relativeFrom="margin">
              <wp:posOffset>-931460</wp:posOffset>
            </wp:positionV>
            <wp:extent cx="1867535" cy="583565"/>
            <wp:effectExtent l="0" t="0" r="0" b="0"/>
            <wp:wrapSquare wrapText="bothSides" distT="0" distB="0" distL="114300" distR="114300"/>
            <wp:docPr id="23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1" name="image1.png">
                      <a:extLst>
                        <a:ext uri="{C183D7F6-B498-43B3-948B-1728B52AA6E4}">
                          <adec:decorative xmlns:adec="http://schemas.microsoft.com/office/drawing/2017/decorative" val="1"/>
                        </a:ext>
                      </a:extLst>
                    </pic:cNvPr>
                    <pic:cNvPicPr preferRelativeResize="0"/>
                  </pic:nvPicPr>
                  <pic:blipFill>
                    <a:blip r:embed="rId13"/>
                    <a:srcRect l="9661" t="15654" r="8481" b="17223"/>
                    <a:stretch>
                      <a:fillRect/>
                    </a:stretch>
                  </pic:blipFill>
                  <pic:spPr>
                    <a:xfrm>
                      <a:off x="0" y="0"/>
                      <a:ext cx="1867535" cy="583565"/>
                    </a:xfrm>
                    <a:prstGeom prst="rect">
                      <a:avLst/>
                    </a:prstGeom>
                    <a:ln/>
                  </pic:spPr>
                </pic:pic>
              </a:graphicData>
            </a:graphic>
          </wp:anchor>
        </w:drawing>
      </w:r>
      <w:r>
        <w:rPr>
          <w:noProof/>
        </w:rPr>
        <mc:AlternateContent>
          <mc:Choice Requires="wps">
            <w:drawing>
              <wp:anchor distT="0" distB="0" distL="0" distR="0" simplePos="0" relativeHeight="251658242" behindDoc="1" locked="0" layoutInCell="1" hidden="0" allowOverlap="1" wp14:anchorId="57B773D1" wp14:editId="1B1F2EB0">
                <wp:simplePos x="0" y="0"/>
                <wp:positionH relativeFrom="page">
                  <wp:posOffset>-17461</wp:posOffset>
                </wp:positionH>
                <wp:positionV relativeFrom="margin">
                  <wp:posOffset>2785728</wp:posOffset>
                </wp:positionV>
                <wp:extent cx="7790180" cy="6156325"/>
                <wp:effectExtent l="0" t="0" r="0" b="0"/>
                <wp:wrapNone/>
                <wp:docPr id="230" name="Rectangle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455673" y="706600"/>
                          <a:ext cx="7780655" cy="6146800"/>
                        </a:xfrm>
                        <a:prstGeom prst="rect">
                          <a:avLst/>
                        </a:prstGeom>
                        <a:solidFill>
                          <a:srgbClr val="E9E9E8"/>
                        </a:solidFill>
                        <a:ln>
                          <a:noFill/>
                        </a:ln>
                      </wps:spPr>
                      <wps:txbx>
                        <w:txbxContent>
                          <w:p w14:paraId="05595EC0" w14:textId="77777777" w:rsidR="006B799D" w:rsidRDefault="006B799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7B773D1" id="Rectangle 230" o:spid="_x0000_s1026" alt="&quot;&quot;" style="position:absolute;margin-left:-1.35pt;margin-top:219.35pt;width:613.4pt;height:484.75pt;z-index:-251658238;visibility:visible;mso-wrap-style:square;mso-wrap-distance-left:0;mso-wrap-distance-top:0;mso-wrap-distance-right:0;mso-wrap-distance-bottom:0;mso-position-horizontal:absolute;mso-position-horizontal-relative:page;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" fillcolor="#e9e9e8" stroked="f">
                <v:textbox inset="2.53958mm,2.53958mm,2.53958mm,2.53958mm">
                  <w:txbxContent>
                    <w:p w14:paraId="05595EC0" w14:textId="77777777" w:rsidR="006B799D" w:rsidRDefault="006B799D">
                      <w:pPr>
                        <w:spacing w:after="0" w:line="240" w:lineRule="auto"/>
                        <w:textDirection w:val="btLr"/>
                      </w:pPr>
                    </w:p>
                  </w:txbxContent>
                </v:textbox>
                <w10:wrap anchorx="page" anchory="margin"/>
              </v:rect>
            </w:pict>
          </mc:Fallback>
        </mc:AlternateContent>
      </w:r>
    </w:p>
    <w:p w14:paraId="00000002" w14:textId="77777777" w:rsidR="006B799D" w:rsidRPr="0017313A" w:rsidRDefault="00CC1E6B">
      <w:pPr>
        <w:pBdr>
          <w:top w:val="nil"/>
          <w:left w:val="nil"/>
          <w:bottom w:val="nil"/>
          <w:right w:val="nil"/>
          <w:between w:val="nil"/>
        </w:pBdr>
        <w:spacing w:before="1920"/>
        <w:rPr>
          <w:rFonts w:asciiTheme="minorHAnsi" w:eastAsia="Gill Sans" w:hAnsiTheme="minorHAnsi" w:cs="Gill Sans"/>
          <w:color w:val="002F6C"/>
          <w:sz w:val="32"/>
          <w:szCs w:val="32"/>
        </w:rPr>
      </w:pPr>
      <w:r w:rsidRPr="0017313A">
        <w:rPr>
          <w:rFonts w:asciiTheme="minorHAnsi" w:eastAsia="Gill Sans" w:hAnsiTheme="minorHAnsi" w:cs="Gill Sans"/>
          <w:color w:val="002F6C"/>
          <w:sz w:val="32"/>
          <w:szCs w:val="32"/>
        </w:rPr>
        <w:t>Integrated Natural Resource Management (INRM)</w:t>
      </w:r>
    </w:p>
    <w:p w14:paraId="00000003" w14:textId="77777777" w:rsidR="006B799D" w:rsidRPr="0017313A" w:rsidRDefault="00CC1E6B">
      <w:pPr>
        <w:pStyle w:val="Title"/>
        <w:rPr>
          <w:rFonts w:asciiTheme="minorHAnsi" w:hAnsiTheme="minorHAnsi"/>
        </w:rPr>
      </w:pPr>
      <w:r w:rsidRPr="0017313A">
        <w:rPr>
          <w:rFonts w:asciiTheme="minorHAnsi" w:hAnsiTheme="minorHAnsi"/>
        </w:rPr>
        <w:t>HEARTH Monitoring and Evaluation Toolkit:</w:t>
      </w:r>
    </w:p>
    <w:p w14:paraId="00000004" w14:textId="0EDD9517" w:rsidR="006B799D" w:rsidRPr="0017313A" w:rsidRDefault="00ED06B9" w:rsidP="009651C6">
      <w:pPr>
        <w:pBdr>
          <w:top w:val="nil"/>
          <w:left w:val="nil"/>
          <w:bottom w:val="nil"/>
          <w:right w:val="nil"/>
          <w:between w:val="nil"/>
        </w:pBdr>
        <w:spacing w:after="360"/>
        <w:rPr>
          <w:rFonts w:asciiTheme="minorHAnsi" w:eastAsia="Gill Sans" w:hAnsiTheme="minorHAnsi" w:cs="Gill Sans"/>
          <w:i/>
          <w:color w:val="002F6C"/>
          <w:sz w:val="56"/>
          <w:szCs w:val="56"/>
        </w:rPr>
      </w:pPr>
      <w:r w:rsidRPr="0017313A">
        <w:rPr>
          <w:rFonts w:asciiTheme="minorHAnsi" w:eastAsia="Gill Sans" w:hAnsiTheme="minorHAnsi" w:cs="Gill Sans"/>
          <w:i/>
          <w:color w:val="002F6C"/>
          <w:sz w:val="56"/>
          <w:szCs w:val="56"/>
        </w:rPr>
        <w:t>G</w:t>
      </w:r>
      <w:r w:rsidR="00CE002D" w:rsidRPr="0017313A">
        <w:rPr>
          <w:rFonts w:asciiTheme="minorHAnsi" w:eastAsia="Gill Sans" w:hAnsiTheme="minorHAnsi" w:cs="Gill Sans"/>
          <w:i/>
          <w:color w:val="002F6C"/>
          <w:sz w:val="56"/>
          <w:szCs w:val="56"/>
        </w:rPr>
        <w:t xml:space="preserve">overnance </w:t>
      </w:r>
    </w:p>
    <w:p w14:paraId="00000005" w14:textId="15B45EEB" w:rsidR="006B799D" w:rsidRPr="0017313A" w:rsidRDefault="00EA2E1B">
      <w:pPr>
        <w:pBdr>
          <w:top w:val="nil"/>
          <w:left w:val="nil"/>
          <w:bottom w:val="nil"/>
          <w:right w:val="nil"/>
          <w:between w:val="nil"/>
        </w:pBdr>
        <w:rPr>
          <w:rFonts w:asciiTheme="minorHAnsi" w:eastAsia="Gill Sans" w:hAnsiTheme="minorHAnsi" w:cs="Gill Sans"/>
          <w:color w:val="0064BB"/>
          <w:sz w:val="28"/>
          <w:szCs w:val="28"/>
        </w:rPr>
      </w:pPr>
      <w:r w:rsidRPr="0017313A">
        <w:rPr>
          <w:rFonts w:asciiTheme="minorHAnsi" w:eastAsia="Gill Sans" w:hAnsiTheme="minorHAnsi" w:cs="Gill Sans"/>
          <w:color w:val="0064BB"/>
          <w:sz w:val="28"/>
          <w:szCs w:val="28"/>
        </w:rPr>
        <w:t xml:space="preserve">APRIL </w:t>
      </w:r>
      <w:r w:rsidR="00CC1E6B" w:rsidRPr="0017313A">
        <w:rPr>
          <w:rFonts w:asciiTheme="minorHAnsi" w:eastAsia="Gill Sans" w:hAnsiTheme="minorHAnsi" w:cs="Gill Sans"/>
          <w:color w:val="0064BB"/>
          <w:sz w:val="28"/>
          <w:szCs w:val="28"/>
        </w:rPr>
        <w:t>2022</w:t>
      </w:r>
    </w:p>
    <w:p w14:paraId="16513FDB" w14:textId="77777777" w:rsidR="00FC4908" w:rsidRDefault="00FC4908" w:rsidP="00FC4908">
      <w:pPr>
        <w:pBdr>
          <w:top w:val="nil"/>
          <w:left w:val="nil"/>
          <w:bottom w:val="nil"/>
          <w:right w:val="nil"/>
          <w:between w:val="nil"/>
        </w:pBdr>
        <w:rPr>
          <w:rFonts w:asciiTheme="majorHAnsi" w:eastAsia="Gill Sans" w:hAnsiTheme="majorHAnsi" w:cs="Gill Sans"/>
          <w:color w:val="0064BB"/>
          <w:sz w:val="28"/>
          <w:szCs w:val="28"/>
        </w:rPr>
      </w:pPr>
    </w:p>
    <w:p w14:paraId="460B81E3" w14:textId="77777777" w:rsidR="00FC4908" w:rsidRDefault="00FC4908" w:rsidP="00FC4908">
      <w:pPr>
        <w:pBdr>
          <w:top w:val="nil"/>
          <w:left w:val="nil"/>
          <w:bottom w:val="nil"/>
          <w:right w:val="nil"/>
          <w:between w:val="nil"/>
        </w:pBdr>
        <w:rPr>
          <w:rFonts w:asciiTheme="majorHAnsi" w:eastAsia="Gill Sans" w:hAnsiTheme="majorHAnsi" w:cs="Gill Sans"/>
          <w:color w:val="0064BB"/>
          <w:sz w:val="28"/>
          <w:szCs w:val="28"/>
        </w:rPr>
      </w:pPr>
    </w:p>
    <w:p w14:paraId="4282BD54" w14:textId="77777777" w:rsidR="00FC4908" w:rsidRDefault="00FC4908" w:rsidP="00FC4908">
      <w:pPr>
        <w:pBdr>
          <w:top w:val="nil"/>
          <w:left w:val="nil"/>
          <w:bottom w:val="nil"/>
          <w:right w:val="nil"/>
          <w:between w:val="nil"/>
        </w:pBdr>
        <w:rPr>
          <w:rFonts w:asciiTheme="majorHAnsi" w:eastAsia="Gill Sans" w:hAnsiTheme="majorHAnsi" w:cs="Gill Sans"/>
          <w:color w:val="0064BB"/>
          <w:sz w:val="28"/>
          <w:szCs w:val="28"/>
        </w:rPr>
      </w:pPr>
    </w:p>
    <w:p w14:paraId="2CA60D84" w14:textId="77777777" w:rsidR="00FC4908" w:rsidRDefault="00FC4908" w:rsidP="00FC4908">
      <w:pPr>
        <w:pBdr>
          <w:top w:val="nil"/>
          <w:left w:val="nil"/>
          <w:bottom w:val="nil"/>
          <w:right w:val="nil"/>
          <w:between w:val="nil"/>
        </w:pBdr>
        <w:rPr>
          <w:rFonts w:asciiTheme="majorHAnsi" w:eastAsia="Gill Sans" w:hAnsiTheme="majorHAnsi" w:cs="Gill Sans"/>
          <w:color w:val="0064BB"/>
          <w:sz w:val="28"/>
          <w:szCs w:val="28"/>
        </w:rPr>
      </w:pPr>
    </w:p>
    <w:p w14:paraId="79615E29" w14:textId="77777777" w:rsidR="00FC4908" w:rsidRDefault="00FC4908" w:rsidP="00FC4908">
      <w:pPr>
        <w:pBdr>
          <w:top w:val="nil"/>
          <w:left w:val="nil"/>
          <w:bottom w:val="nil"/>
          <w:right w:val="nil"/>
          <w:between w:val="nil"/>
        </w:pBdr>
        <w:rPr>
          <w:rFonts w:asciiTheme="majorHAnsi" w:eastAsia="Gill Sans" w:hAnsiTheme="majorHAnsi" w:cs="Gill Sans"/>
          <w:color w:val="0064BB"/>
          <w:sz w:val="28"/>
          <w:szCs w:val="28"/>
        </w:rPr>
      </w:pPr>
    </w:p>
    <w:p w14:paraId="2766499A" w14:textId="77777777" w:rsidR="00FC4908" w:rsidRDefault="00FC4908" w:rsidP="00FC4908">
      <w:pPr>
        <w:pBdr>
          <w:top w:val="nil"/>
          <w:left w:val="nil"/>
          <w:bottom w:val="nil"/>
          <w:right w:val="nil"/>
          <w:between w:val="nil"/>
        </w:pBdr>
        <w:rPr>
          <w:rFonts w:asciiTheme="majorHAnsi" w:eastAsia="Gill Sans" w:hAnsiTheme="majorHAnsi" w:cs="Gill Sans"/>
          <w:color w:val="0064BB"/>
          <w:sz w:val="28"/>
          <w:szCs w:val="28"/>
        </w:rPr>
      </w:pPr>
    </w:p>
    <w:p w14:paraId="1A22526B" w14:textId="77777777" w:rsidR="00FC4908" w:rsidRPr="00131ADD" w:rsidRDefault="00FC4908" w:rsidP="00FC4908">
      <w:pPr>
        <w:pBdr>
          <w:top w:val="nil"/>
          <w:left w:val="nil"/>
          <w:bottom w:val="nil"/>
          <w:right w:val="nil"/>
          <w:between w:val="nil"/>
        </w:pBdr>
        <w:rPr>
          <w:rFonts w:asciiTheme="majorHAnsi" w:eastAsia="Gill Sans" w:hAnsiTheme="majorHAnsi" w:cs="Gill Sans"/>
          <w:color w:val="0064BB"/>
          <w:sz w:val="28"/>
          <w:szCs w:val="28"/>
        </w:rPr>
      </w:pPr>
      <w:r>
        <w:rPr>
          <w:noProof/>
        </w:rPr>
        <mc:AlternateContent>
          <mc:Choice Requires="wps">
            <w:drawing>
              <wp:inline distT="0" distB="0" distL="0" distR="0" wp14:anchorId="35F3ADA3" wp14:editId="6059077A">
                <wp:extent cx="5901447" cy="2393004"/>
                <wp:effectExtent l="0" t="0" r="17145" b="7620"/>
                <wp:docPr id="10" name="Text Box 10"/>
                <wp:cNvGraphicFramePr/>
                <a:graphic xmlns:a="http://schemas.openxmlformats.org/drawingml/2006/main">
                  <a:graphicData uri="http://schemas.microsoft.com/office/word/2010/wordprocessingShape">
                    <wps:wsp>
                      <wps:cNvSpPr txBox="1"/>
                      <wps:spPr>
                        <a:xfrm>
                          <a:off x="0" y="0"/>
                          <a:ext cx="5901447" cy="2393004"/>
                        </a:xfrm>
                        <a:prstGeom prst="rect">
                          <a:avLst/>
                        </a:prstGeom>
                        <a:solidFill>
                          <a:schemeClr val="accent2">
                            <a:lumMod val="60000"/>
                            <a:lumOff val="40000"/>
                          </a:schemeClr>
                        </a:solidFill>
                        <a:ln w="6350">
                          <a:solidFill>
                            <a:prstClr val="black"/>
                          </a:solidFill>
                        </a:ln>
                      </wps:spPr>
                      <wps:txbx>
                        <w:txbxContent>
                          <w:p w14:paraId="23E7402A" w14:textId="77777777" w:rsidR="00FC4908" w:rsidRPr="00592394" w:rsidRDefault="00FC4908" w:rsidP="00FC4908">
                            <w:pPr>
                              <w:pStyle w:val="Contractpage-INRMheading"/>
                            </w:pPr>
                            <w:r w:rsidRPr="00592394">
                              <w:t>Integrated Natural Resource Management (INRM)</w:t>
                            </w:r>
                          </w:p>
                          <w:p w14:paraId="79956039" w14:textId="77777777" w:rsidR="00FC4908" w:rsidRPr="0003469D" w:rsidRDefault="00FC4908" w:rsidP="00FC4908">
                            <w:pPr>
                              <w:pStyle w:val="BasicParagraph"/>
                              <w:rPr>
                                <w:rFonts w:asciiTheme="minorHAnsi" w:hAnsiTheme="minorHAnsi"/>
                              </w:rPr>
                            </w:pPr>
                            <w:r w:rsidRPr="0003469D">
                              <w:rPr>
                                <w:rFonts w:asciiTheme="minorHAnsi" w:hAnsiTheme="minorHAnsi"/>
                              </w:rPr>
                              <w:t>Sound management of natural resources is central to long-term development and resilience. Faced with an urgent need to reduce environmental degradation while improving human well-being, solutions that effectively integrate investments in natural resource management with economic and social development are increasingly urgent. INRM promotes integrated programming across environment and non-environment sectors and across the Program Cycle. INRM supports USAID to amplify program impacts, strengthen gender equality and social inclusion, and identify best practices for integration.</w:t>
                            </w:r>
                          </w:p>
                          <w:p w14:paraId="72996A28" w14:textId="77777777" w:rsidR="00FC4908" w:rsidRPr="0003469D" w:rsidRDefault="00FC4908" w:rsidP="00FC4908">
                            <w:pPr>
                              <w:rPr>
                                <w:rFonts w:asciiTheme="minorHAnsi" w:hAnsiTheme="minorHAnsi"/>
                              </w:rPr>
                            </w:pPr>
                            <w:r w:rsidRPr="0003469D">
                              <w:rPr>
                                <w:rFonts w:asciiTheme="minorHAnsi" w:hAnsiTheme="minorHAnsi"/>
                              </w:rPr>
                              <w:t xml:space="preserve">For more information: </w:t>
                            </w:r>
                            <w:r>
                              <w:rPr>
                                <w:rFonts w:asciiTheme="minorHAnsi" w:hAnsiTheme="minorHAnsi"/>
                              </w:rPr>
                              <w:br/>
                            </w:r>
                            <w:r w:rsidRPr="0003469D">
                              <w:rPr>
                                <w:rStyle w:val="Hyperlink"/>
                              </w:rPr>
                              <w:t>https://land-links.org/project/integrated-natural-resource-management-inrm-activity/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5F3ADA3" id="_x0000_t202" coordsize="21600,21600" o:spt="202" path="m,l,21600r21600,l21600,xe">
                <v:stroke joinstyle="miter"/>
                <v:path gradientshapeok="t" o:connecttype="rect"/>
              </v:shapetype>
              <v:shape id="Text Box 10" o:spid="_x0000_s1027" type="#_x0000_t202" style="width:464.7pt;height:18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" fillcolor="#c7dbf4 [1941]" strokeweight=".5pt">
                <v:textbox>
                  <w:txbxContent>
                    <w:p w14:paraId="23E7402A" w14:textId="77777777" w:rsidR="00FC4908" w:rsidRPr="00592394" w:rsidRDefault="00FC4908" w:rsidP="00FC4908">
                      <w:pPr>
                        <w:pStyle w:val="Contractpage-INRMheading"/>
                      </w:pPr>
                      <w:r w:rsidRPr="00592394">
                        <w:t>Integrated Natural Resource Management (INRM)</w:t>
                      </w:r>
                    </w:p>
                    <w:p w14:paraId="79956039" w14:textId="77777777" w:rsidR="00FC4908" w:rsidRPr="0003469D" w:rsidRDefault="00FC4908" w:rsidP="00FC4908">
                      <w:pPr>
                        <w:pStyle w:val="BasicParagraph"/>
                        <w:rPr>
                          <w:rFonts w:asciiTheme="minorHAnsi" w:hAnsiTheme="minorHAnsi"/>
                        </w:rPr>
                      </w:pPr>
                      <w:r w:rsidRPr="0003469D">
                        <w:rPr>
                          <w:rFonts w:asciiTheme="minorHAnsi" w:hAnsiTheme="minorHAnsi"/>
                        </w:rPr>
                        <w:t>Sound management of natural resources is central to long-term development and resilience. Faced with an urgent need to reduce environmental degradation while improving human well-being, solutions that effectively integrate investments in natural resource management with economic and social development are increasingly urgent. INRM promotes integrated programming across environment and non-environment sectors and across the Program Cycle. INRM supports USAID to amplify program impacts, strengthen gender equality and social inclusion, and identify best practices for integration.</w:t>
                      </w:r>
                    </w:p>
                    <w:p w14:paraId="72996A28" w14:textId="77777777" w:rsidR="00FC4908" w:rsidRPr="0003469D" w:rsidRDefault="00FC4908" w:rsidP="00FC4908">
                      <w:pPr>
                        <w:rPr>
                          <w:rFonts w:asciiTheme="minorHAnsi" w:hAnsiTheme="minorHAnsi"/>
                        </w:rPr>
                      </w:pPr>
                      <w:r w:rsidRPr="0003469D">
                        <w:rPr>
                          <w:rFonts w:asciiTheme="minorHAnsi" w:hAnsiTheme="minorHAnsi"/>
                        </w:rPr>
                        <w:t xml:space="preserve">For more information: </w:t>
                      </w:r>
                      <w:r>
                        <w:rPr>
                          <w:rFonts w:asciiTheme="minorHAnsi" w:hAnsiTheme="minorHAnsi"/>
                        </w:rPr>
                        <w:br/>
                      </w:r>
                      <w:r w:rsidRPr="0003469D">
                        <w:rPr>
                          <w:rStyle w:val="Hyperlink"/>
                        </w:rPr>
                        <w:t>https://land-links.org/project/integrated-natural-resource-management-inrm-activity/</w:t>
                      </w:r>
                    </w:p>
                  </w:txbxContent>
                </v:textbox>
                <w10:anchorlock/>
              </v:shape>
            </w:pict>
          </mc:Fallback>
        </mc:AlternateContent>
      </w:r>
    </w:p>
    <w:tbl>
      <w:tblPr>
        <w:tblW w:w="9350"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2965"/>
        <w:gridCol w:w="6385"/>
      </w:tblGrid>
      <w:tr w:rsidR="00FC4908" w:rsidRPr="00D42FAE" w14:paraId="396A29EE" w14:textId="77777777" w:rsidTr="0063691C">
        <w:tc>
          <w:tcPr>
            <w:tcW w:w="2965" w:type="dxa"/>
            <w:shd w:val="clear" w:color="auto" w:fill="auto"/>
          </w:tcPr>
          <w:p w14:paraId="31C09290" w14:textId="77777777" w:rsidR="00FC4908" w:rsidRPr="00D42FAE" w:rsidRDefault="00FC4908" w:rsidP="0063691C">
            <w:pPr>
              <w:spacing w:before="60" w:after="60"/>
              <w:rPr>
                <w:rFonts w:asciiTheme="minorHAnsi" w:hAnsiTheme="minorHAnsi"/>
                <w:b/>
              </w:rPr>
            </w:pPr>
            <w:r w:rsidRPr="00D42FAE">
              <w:rPr>
                <w:rFonts w:asciiTheme="minorHAnsi" w:hAnsiTheme="minorHAnsi"/>
                <w:b/>
              </w:rPr>
              <w:t>Date of Publication:</w:t>
            </w:r>
          </w:p>
        </w:tc>
        <w:tc>
          <w:tcPr>
            <w:tcW w:w="6385" w:type="dxa"/>
            <w:shd w:val="clear" w:color="auto" w:fill="auto"/>
          </w:tcPr>
          <w:p w14:paraId="43C360ED" w14:textId="77777777" w:rsidR="00FC4908" w:rsidRPr="00D42FAE" w:rsidRDefault="00FC4908" w:rsidP="0063691C">
            <w:pPr>
              <w:spacing w:before="60" w:after="60"/>
              <w:rPr>
                <w:rFonts w:asciiTheme="minorHAnsi" w:hAnsiTheme="minorHAnsi"/>
              </w:rPr>
            </w:pPr>
            <w:r w:rsidRPr="00D42FAE">
              <w:rPr>
                <w:rFonts w:asciiTheme="minorHAnsi" w:hAnsiTheme="minorHAnsi"/>
              </w:rPr>
              <w:t>April 2022</w:t>
            </w:r>
          </w:p>
        </w:tc>
      </w:tr>
      <w:tr w:rsidR="00FC4908" w:rsidRPr="00D42FAE" w14:paraId="51DC4B26" w14:textId="77777777" w:rsidTr="0063691C">
        <w:tc>
          <w:tcPr>
            <w:tcW w:w="2965" w:type="dxa"/>
            <w:shd w:val="clear" w:color="auto" w:fill="auto"/>
          </w:tcPr>
          <w:p w14:paraId="38D77464" w14:textId="77777777" w:rsidR="00FC4908" w:rsidRPr="00D42FAE" w:rsidRDefault="00FC4908" w:rsidP="0063691C">
            <w:pPr>
              <w:spacing w:before="60" w:after="60"/>
              <w:rPr>
                <w:rFonts w:asciiTheme="minorHAnsi" w:hAnsiTheme="minorHAnsi"/>
                <w:b/>
              </w:rPr>
            </w:pPr>
            <w:r w:rsidRPr="00D42FAE">
              <w:rPr>
                <w:rFonts w:asciiTheme="minorHAnsi" w:hAnsiTheme="minorHAnsi"/>
                <w:b/>
              </w:rPr>
              <w:t xml:space="preserve">Authors: </w:t>
            </w:r>
          </w:p>
        </w:tc>
        <w:tc>
          <w:tcPr>
            <w:tcW w:w="6385" w:type="dxa"/>
            <w:shd w:val="clear" w:color="auto" w:fill="auto"/>
          </w:tcPr>
          <w:p w14:paraId="3C98ED81" w14:textId="77777777" w:rsidR="00FC4908" w:rsidRPr="00D42FAE" w:rsidRDefault="00FC4908" w:rsidP="0063691C">
            <w:pPr>
              <w:spacing w:before="60" w:after="60"/>
              <w:rPr>
                <w:rFonts w:asciiTheme="minorHAnsi" w:hAnsiTheme="minorHAnsi"/>
                <w:b/>
              </w:rPr>
            </w:pPr>
            <w:r w:rsidRPr="00D42FAE">
              <w:rPr>
                <w:rFonts w:asciiTheme="minorHAnsi" w:hAnsiTheme="minorHAnsi"/>
              </w:rPr>
              <w:t xml:space="preserve">Samantha Cheng, Mike Duthie, Daniel Evans, Aaron Ferguson, Andres Gomez, Scott Miller, Christina </w:t>
            </w:r>
            <w:proofErr w:type="spellStart"/>
            <w:r w:rsidRPr="00D42FAE">
              <w:rPr>
                <w:rFonts w:asciiTheme="minorHAnsi" w:hAnsiTheme="minorHAnsi"/>
              </w:rPr>
              <w:t>Seybolt</w:t>
            </w:r>
            <w:proofErr w:type="spellEnd"/>
            <w:r w:rsidRPr="00D42FAE">
              <w:rPr>
                <w:rFonts w:asciiTheme="minorHAnsi" w:hAnsiTheme="minorHAnsi"/>
              </w:rPr>
              <w:t>, and Meredith Wiggins</w:t>
            </w:r>
          </w:p>
        </w:tc>
      </w:tr>
      <w:tr w:rsidR="00FC4908" w:rsidRPr="00D42FAE" w14:paraId="2891AB72" w14:textId="77777777" w:rsidTr="0063691C">
        <w:tc>
          <w:tcPr>
            <w:tcW w:w="2965" w:type="dxa"/>
            <w:shd w:val="clear" w:color="auto" w:fill="auto"/>
          </w:tcPr>
          <w:p w14:paraId="0B3BD01E" w14:textId="77777777" w:rsidR="00FC4908" w:rsidRPr="00D42FAE" w:rsidRDefault="00FC4908" w:rsidP="0063691C">
            <w:pPr>
              <w:spacing w:before="60" w:after="60"/>
              <w:rPr>
                <w:rFonts w:asciiTheme="minorHAnsi" w:hAnsiTheme="minorHAnsi"/>
                <w:b/>
              </w:rPr>
            </w:pPr>
            <w:bookmarkStart w:id="0" w:name="_heading=h.3rdcrjn" w:colFirst="0" w:colLast="0"/>
            <w:bookmarkEnd w:id="0"/>
            <w:r w:rsidRPr="00D42FAE">
              <w:rPr>
                <w:rFonts w:asciiTheme="minorHAnsi" w:hAnsiTheme="minorHAnsi"/>
                <w:b/>
              </w:rPr>
              <w:t>Front Cover photo:</w:t>
            </w:r>
          </w:p>
        </w:tc>
        <w:tc>
          <w:tcPr>
            <w:tcW w:w="6385" w:type="dxa"/>
            <w:shd w:val="clear" w:color="auto" w:fill="auto"/>
          </w:tcPr>
          <w:p w14:paraId="10ABC42D" w14:textId="32FF3571" w:rsidR="00FC4908" w:rsidRPr="00D42FAE" w:rsidRDefault="001C600B" w:rsidP="0063691C">
            <w:pPr>
              <w:spacing w:before="60" w:after="60"/>
              <w:rPr>
                <w:rFonts w:asciiTheme="minorHAnsi" w:hAnsiTheme="minorHAnsi"/>
                <w:b/>
              </w:rPr>
            </w:pPr>
            <w:r w:rsidRPr="001C600B">
              <w:rPr>
                <w:rFonts w:asciiTheme="minorHAnsi" w:hAnsiTheme="minorHAnsi"/>
              </w:rPr>
              <w:t xml:space="preserve">Nora </w:t>
            </w:r>
            <w:proofErr w:type="spellStart"/>
            <w:r w:rsidRPr="001C600B">
              <w:rPr>
                <w:rFonts w:asciiTheme="minorHAnsi" w:hAnsiTheme="minorHAnsi"/>
              </w:rPr>
              <w:t>Abrina</w:t>
            </w:r>
            <w:proofErr w:type="spellEnd"/>
            <w:r w:rsidRPr="001C600B">
              <w:rPr>
                <w:rFonts w:asciiTheme="minorHAnsi" w:hAnsiTheme="minorHAnsi"/>
              </w:rPr>
              <w:t xml:space="preserve">, President of SAKOAS Peoples Organization, </w:t>
            </w:r>
            <w:r w:rsidR="000E17AC">
              <w:rPr>
                <w:rFonts w:asciiTheme="minorHAnsi" w:hAnsiTheme="minorHAnsi"/>
              </w:rPr>
              <w:t xml:space="preserve">Palawan, </w:t>
            </w:r>
            <w:r w:rsidRPr="001C600B">
              <w:rPr>
                <w:rFonts w:asciiTheme="minorHAnsi" w:hAnsiTheme="minorHAnsi"/>
              </w:rPr>
              <w:t>Philippines</w:t>
            </w:r>
            <w:r w:rsidR="00FC4908" w:rsidRPr="001C2636">
              <w:rPr>
                <w:rFonts w:asciiTheme="minorHAnsi" w:hAnsiTheme="minorHAnsi"/>
              </w:rPr>
              <w:t>. Photograph by Jason Houston for USAID.</w:t>
            </w:r>
          </w:p>
        </w:tc>
      </w:tr>
    </w:tbl>
    <w:p w14:paraId="776AF79F" w14:textId="77777777" w:rsidR="00FC4908" w:rsidRPr="00D42FAE" w:rsidRDefault="00FC4908" w:rsidP="00FC4908">
      <w:pPr>
        <w:pBdr>
          <w:top w:val="nil"/>
          <w:left w:val="nil"/>
          <w:bottom w:val="nil"/>
          <w:right w:val="nil"/>
          <w:between w:val="nil"/>
        </w:pBdr>
        <w:spacing w:before="160" w:line="280" w:lineRule="auto"/>
        <w:rPr>
          <w:rFonts w:asciiTheme="minorHAnsi" w:eastAsia="Gill Sans" w:hAnsiTheme="minorHAnsi" w:cs="Gill Sans"/>
          <w:color w:val="000000"/>
          <w:sz w:val="20"/>
          <w:szCs w:val="20"/>
        </w:rPr>
      </w:pPr>
    </w:p>
    <w:p w14:paraId="5DAA8C57" w14:textId="77777777" w:rsidR="00FC4908" w:rsidRPr="0003469D" w:rsidRDefault="00FC4908" w:rsidP="00FC4908">
      <w:pPr>
        <w:rPr>
          <w:sz w:val="21"/>
          <w:szCs w:val="21"/>
        </w:rPr>
      </w:pPr>
      <w:r w:rsidRPr="0003469D">
        <w:rPr>
          <w:sz w:val="21"/>
          <w:szCs w:val="21"/>
        </w:rPr>
        <w:t>This document was produced for review by the United States Agency for International Development under the Strengthening Tenure and Resource Rights II (STARR II) IDIQ contract number 7200AA20F00010</w:t>
      </w:r>
      <w:r>
        <w:rPr>
          <w:sz w:val="21"/>
          <w:szCs w:val="21"/>
        </w:rPr>
        <w:t>.</w:t>
      </w:r>
    </w:p>
    <w:p w14:paraId="0000002A" w14:textId="72D6CFED" w:rsidR="006B799D" w:rsidRPr="0017313A" w:rsidRDefault="00FC4908" w:rsidP="00FC4908">
      <w:pPr>
        <w:rPr>
          <w:rFonts w:asciiTheme="minorHAnsi" w:hAnsiTheme="minorHAnsi"/>
        </w:rPr>
      </w:pPr>
      <w:r w:rsidRPr="00172F24">
        <w:rPr>
          <w:sz w:val="21"/>
          <w:szCs w:val="21"/>
        </w:rPr>
        <w:t>The authors’ views expressed in this publication do not necessarily reflect the views of the United States Agency for International Development or the United States Government.</w:t>
      </w:r>
      <w:r w:rsidR="00CC1E6B" w:rsidRPr="0017313A">
        <w:rPr>
          <w:rFonts w:asciiTheme="minorHAnsi" w:hAnsiTheme="minorHAnsi"/>
        </w:rPr>
        <w:br w:type="page"/>
      </w:r>
    </w:p>
    <w:p w14:paraId="0000002B" w14:textId="77777777" w:rsidR="006B799D" w:rsidRPr="0017313A" w:rsidRDefault="00CC1E6B">
      <w:pPr>
        <w:keepNext/>
        <w:keepLines/>
        <w:pBdr>
          <w:top w:val="nil"/>
          <w:left w:val="nil"/>
          <w:bottom w:val="nil"/>
          <w:right w:val="nil"/>
          <w:between w:val="nil"/>
        </w:pBdr>
        <w:spacing w:before="480" w:after="120" w:line="240" w:lineRule="auto"/>
        <w:rPr>
          <w:rFonts w:asciiTheme="minorHAnsi" w:eastAsia="Gill Sans" w:hAnsiTheme="minorHAnsi" w:cs="Gill Sans"/>
          <w:color w:val="002F6C"/>
          <w:sz w:val="70"/>
          <w:szCs w:val="70"/>
        </w:rPr>
      </w:pPr>
      <w:r w:rsidRPr="0017313A">
        <w:rPr>
          <w:rFonts w:asciiTheme="minorHAnsi" w:eastAsia="Gill Sans" w:hAnsiTheme="minorHAnsi" w:cs="Gill Sans"/>
          <w:color w:val="002F6C"/>
          <w:sz w:val="70"/>
          <w:szCs w:val="70"/>
        </w:rPr>
        <w:lastRenderedPageBreak/>
        <w:t>Contents</w:t>
      </w:r>
    </w:p>
    <w:sdt>
      <w:sdtPr>
        <w:rPr>
          <w:rFonts w:asciiTheme="minorHAnsi" w:eastAsia="Source Sans Pro" w:hAnsiTheme="minorHAnsi" w:cstheme="minorBidi"/>
          <w:noProof w:val="0"/>
          <w:sz w:val="22"/>
          <w:szCs w:val="22"/>
        </w:rPr>
        <w:id w:val="-276566084"/>
        <w:docPartObj>
          <w:docPartGallery w:val="Table of Contents"/>
          <w:docPartUnique/>
        </w:docPartObj>
      </w:sdtPr>
      <w:sdtEndPr/>
      <w:sdtContent>
        <w:p w14:paraId="1FA22656" w14:textId="720F00AD" w:rsidR="00345550" w:rsidRDefault="00CC1E6B">
          <w:pPr>
            <w:pStyle w:val="TOC1"/>
            <w:rPr>
              <w:rFonts w:asciiTheme="minorHAnsi" w:eastAsiaTheme="minorEastAsia" w:hAnsiTheme="minorHAnsi" w:cstheme="minorBidi"/>
              <w:sz w:val="22"/>
              <w:szCs w:val="22"/>
            </w:rPr>
          </w:pPr>
          <w:r w:rsidRPr="0017313A">
            <w:rPr>
              <w:rFonts w:asciiTheme="minorHAnsi" w:hAnsiTheme="minorHAnsi"/>
            </w:rPr>
            <w:fldChar w:fldCharType="begin"/>
          </w:r>
          <w:r w:rsidRPr="0017313A">
            <w:rPr>
              <w:rFonts w:asciiTheme="minorHAnsi" w:hAnsiTheme="minorHAnsi"/>
            </w:rPr>
            <w:instrText xml:space="preserve"> TOC \h \u \z </w:instrText>
          </w:r>
          <w:r w:rsidRPr="0017313A">
            <w:rPr>
              <w:rFonts w:asciiTheme="minorHAnsi" w:hAnsiTheme="minorHAnsi"/>
            </w:rPr>
            <w:fldChar w:fldCharType="separate"/>
          </w:r>
          <w:hyperlink w:anchor="_Toc104911800" w:history="1">
            <w:r w:rsidR="00345550" w:rsidRPr="00A60690">
              <w:rPr>
                <w:rStyle w:val="Hyperlink"/>
              </w:rPr>
              <w:t>Acronyms</w:t>
            </w:r>
            <w:r w:rsidR="00345550">
              <w:rPr>
                <w:webHidden/>
              </w:rPr>
              <w:tab/>
            </w:r>
            <w:r w:rsidR="00345550">
              <w:rPr>
                <w:webHidden/>
              </w:rPr>
              <w:fldChar w:fldCharType="begin"/>
            </w:r>
            <w:r w:rsidR="00345550">
              <w:rPr>
                <w:webHidden/>
              </w:rPr>
              <w:instrText xml:space="preserve"> PAGEREF _Toc104911800 \h </w:instrText>
            </w:r>
            <w:r w:rsidR="00345550">
              <w:rPr>
                <w:webHidden/>
              </w:rPr>
            </w:r>
            <w:r w:rsidR="00345550">
              <w:rPr>
                <w:webHidden/>
              </w:rPr>
              <w:fldChar w:fldCharType="separate"/>
            </w:r>
            <w:r w:rsidR="00345550">
              <w:rPr>
                <w:webHidden/>
              </w:rPr>
              <w:t>iv</w:t>
            </w:r>
            <w:r w:rsidR="00345550">
              <w:rPr>
                <w:webHidden/>
              </w:rPr>
              <w:fldChar w:fldCharType="end"/>
            </w:r>
          </w:hyperlink>
        </w:p>
        <w:p w14:paraId="2AA57069" w14:textId="3F746951" w:rsidR="00345550" w:rsidRDefault="003E77E6">
          <w:pPr>
            <w:pStyle w:val="TOC1"/>
            <w:rPr>
              <w:rFonts w:asciiTheme="minorHAnsi" w:eastAsiaTheme="minorEastAsia" w:hAnsiTheme="minorHAnsi" w:cstheme="minorBidi"/>
              <w:sz w:val="22"/>
              <w:szCs w:val="22"/>
            </w:rPr>
          </w:pPr>
          <w:hyperlink w:anchor="_Toc104911801" w:history="1">
            <w:r w:rsidR="00345550" w:rsidRPr="00A60690">
              <w:rPr>
                <w:rStyle w:val="Hyperlink"/>
                <w:rFonts w:eastAsia="Lato Light" w:cs="Lato Light"/>
              </w:rPr>
              <w:t>Overview</w:t>
            </w:r>
            <w:r w:rsidR="00345550">
              <w:rPr>
                <w:webHidden/>
              </w:rPr>
              <w:tab/>
            </w:r>
            <w:r w:rsidR="00345550">
              <w:rPr>
                <w:webHidden/>
              </w:rPr>
              <w:fldChar w:fldCharType="begin"/>
            </w:r>
            <w:r w:rsidR="00345550">
              <w:rPr>
                <w:webHidden/>
              </w:rPr>
              <w:instrText xml:space="preserve"> PAGEREF _Toc104911801 \h </w:instrText>
            </w:r>
            <w:r w:rsidR="00345550">
              <w:rPr>
                <w:webHidden/>
              </w:rPr>
            </w:r>
            <w:r w:rsidR="00345550">
              <w:rPr>
                <w:webHidden/>
              </w:rPr>
              <w:fldChar w:fldCharType="separate"/>
            </w:r>
            <w:r w:rsidR="00345550">
              <w:rPr>
                <w:webHidden/>
              </w:rPr>
              <w:t>1</w:t>
            </w:r>
            <w:r w:rsidR="00345550">
              <w:rPr>
                <w:webHidden/>
              </w:rPr>
              <w:fldChar w:fldCharType="end"/>
            </w:r>
          </w:hyperlink>
        </w:p>
        <w:p w14:paraId="27D62458" w14:textId="13161330" w:rsidR="00345550" w:rsidRDefault="003E77E6">
          <w:pPr>
            <w:pStyle w:val="TOC2"/>
            <w:rPr>
              <w:rFonts w:asciiTheme="minorHAnsi" w:eastAsiaTheme="minorEastAsia" w:hAnsiTheme="minorHAnsi" w:cstheme="minorBidi"/>
              <w:sz w:val="22"/>
              <w:szCs w:val="22"/>
            </w:rPr>
          </w:pPr>
          <w:hyperlink w:anchor="_Toc104911802" w:history="1">
            <w:r w:rsidR="00345550" w:rsidRPr="00A60690">
              <w:rPr>
                <w:rStyle w:val="Hyperlink"/>
                <w:rFonts w:eastAsia="Lato Light" w:cs="Lato Light"/>
              </w:rPr>
              <w:t>How To Use This Toolkit</w:t>
            </w:r>
            <w:r w:rsidR="00345550">
              <w:rPr>
                <w:webHidden/>
              </w:rPr>
              <w:tab/>
            </w:r>
            <w:r w:rsidR="00345550">
              <w:rPr>
                <w:webHidden/>
              </w:rPr>
              <w:fldChar w:fldCharType="begin"/>
            </w:r>
            <w:r w:rsidR="00345550">
              <w:rPr>
                <w:webHidden/>
              </w:rPr>
              <w:instrText xml:space="preserve"> PAGEREF _Toc104911802 \h </w:instrText>
            </w:r>
            <w:r w:rsidR="00345550">
              <w:rPr>
                <w:webHidden/>
              </w:rPr>
            </w:r>
            <w:r w:rsidR="00345550">
              <w:rPr>
                <w:webHidden/>
              </w:rPr>
              <w:fldChar w:fldCharType="separate"/>
            </w:r>
            <w:r w:rsidR="00345550">
              <w:rPr>
                <w:webHidden/>
              </w:rPr>
              <w:t>1</w:t>
            </w:r>
            <w:r w:rsidR="00345550">
              <w:rPr>
                <w:webHidden/>
              </w:rPr>
              <w:fldChar w:fldCharType="end"/>
            </w:r>
          </w:hyperlink>
        </w:p>
        <w:p w14:paraId="5D3D0049" w14:textId="27541BAE" w:rsidR="00345550" w:rsidRDefault="003E77E6">
          <w:pPr>
            <w:pStyle w:val="TOC2"/>
            <w:rPr>
              <w:rFonts w:asciiTheme="minorHAnsi" w:eastAsiaTheme="minorEastAsia" w:hAnsiTheme="minorHAnsi" w:cstheme="minorBidi"/>
              <w:sz w:val="22"/>
              <w:szCs w:val="22"/>
            </w:rPr>
          </w:pPr>
          <w:hyperlink w:anchor="_Toc104911803" w:history="1">
            <w:r w:rsidR="00345550" w:rsidRPr="00A60690">
              <w:rPr>
                <w:rStyle w:val="Hyperlink"/>
              </w:rPr>
              <w:t>Outcomes and Indicators for Governance</w:t>
            </w:r>
            <w:r w:rsidR="00345550">
              <w:rPr>
                <w:webHidden/>
              </w:rPr>
              <w:tab/>
            </w:r>
            <w:r w:rsidR="00345550">
              <w:rPr>
                <w:webHidden/>
              </w:rPr>
              <w:fldChar w:fldCharType="begin"/>
            </w:r>
            <w:r w:rsidR="00345550">
              <w:rPr>
                <w:webHidden/>
              </w:rPr>
              <w:instrText xml:space="preserve"> PAGEREF _Toc104911803 \h </w:instrText>
            </w:r>
            <w:r w:rsidR="00345550">
              <w:rPr>
                <w:webHidden/>
              </w:rPr>
            </w:r>
            <w:r w:rsidR="00345550">
              <w:rPr>
                <w:webHidden/>
              </w:rPr>
              <w:fldChar w:fldCharType="separate"/>
            </w:r>
            <w:r w:rsidR="00345550">
              <w:rPr>
                <w:webHidden/>
              </w:rPr>
              <w:t>2</w:t>
            </w:r>
            <w:r w:rsidR="00345550">
              <w:rPr>
                <w:webHidden/>
              </w:rPr>
              <w:fldChar w:fldCharType="end"/>
            </w:r>
          </w:hyperlink>
        </w:p>
        <w:p w14:paraId="0840D2D4" w14:textId="3B5748A7" w:rsidR="00345550" w:rsidRDefault="003E77E6">
          <w:pPr>
            <w:pStyle w:val="TOC1"/>
            <w:rPr>
              <w:rFonts w:asciiTheme="minorHAnsi" w:eastAsiaTheme="minorEastAsia" w:hAnsiTheme="minorHAnsi" w:cstheme="minorBidi"/>
              <w:sz w:val="22"/>
              <w:szCs w:val="22"/>
            </w:rPr>
          </w:pPr>
          <w:hyperlink w:anchor="_Toc104911804" w:history="1">
            <w:r w:rsidR="00345550" w:rsidRPr="00A60690">
              <w:rPr>
                <w:rStyle w:val="Hyperlink"/>
              </w:rPr>
              <w:t>Governance</w:t>
            </w:r>
            <w:r w:rsidR="00345550">
              <w:rPr>
                <w:webHidden/>
              </w:rPr>
              <w:tab/>
            </w:r>
            <w:r w:rsidR="00345550">
              <w:rPr>
                <w:webHidden/>
              </w:rPr>
              <w:fldChar w:fldCharType="begin"/>
            </w:r>
            <w:r w:rsidR="00345550">
              <w:rPr>
                <w:webHidden/>
              </w:rPr>
              <w:instrText xml:space="preserve"> PAGEREF _Toc104911804 \h </w:instrText>
            </w:r>
            <w:r w:rsidR="00345550">
              <w:rPr>
                <w:webHidden/>
              </w:rPr>
            </w:r>
            <w:r w:rsidR="00345550">
              <w:rPr>
                <w:webHidden/>
              </w:rPr>
              <w:fldChar w:fldCharType="separate"/>
            </w:r>
            <w:r w:rsidR="00345550">
              <w:rPr>
                <w:webHidden/>
              </w:rPr>
              <w:t>3</w:t>
            </w:r>
            <w:r w:rsidR="00345550">
              <w:rPr>
                <w:webHidden/>
              </w:rPr>
              <w:fldChar w:fldCharType="end"/>
            </w:r>
          </w:hyperlink>
        </w:p>
        <w:p w14:paraId="39E4CE7B" w14:textId="4E1B0C77" w:rsidR="00345550" w:rsidRDefault="003E77E6">
          <w:pPr>
            <w:pStyle w:val="TOC2"/>
            <w:rPr>
              <w:rFonts w:asciiTheme="minorHAnsi" w:eastAsiaTheme="minorEastAsia" w:hAnsiTheme="minorHAnsi" w:cstheme="minorBidi"/>
              <w:sz w:val="22"/>
              <w:szCs w:val="22"/>
            </w:rPr>
          </w:pPr>
          <w:hyperlink w:anchor="_Toc104911805" w:history="1">
            <w:r w:rsidR="00345550" w:rsidRPr="00A60690">
              <w:rPr>
                <w:rStyle w:val="Hyperlink"/>
              </w:rPr>
              <w:t>Pathways To Change</w:t>
            </w:r>
            <w:r w:rsidR="00345550">
              <w:rPr>
                <w:webHidden/>
              </w:rPr>
              <w:tab/>
            </w:r>
            <w:r w:rsidR="00345550">
              <w:rPr>
                <w:webHidden/>
              </w:rPr>
              <w:fldChar w:fldCharType="begin"/>
            </w:r>
            <w:r w:rsidR="00345550">
              <w:rPr>
                <w:webHidden/>
              </w:rPr>
              <w:instrText xml:space="preserve"> PAGEREF _Toc104911805 \h </w:instrText>
            </w:r>
            <w:r w:rsidR="00345550">
              <w:rPr>
                <w:webHidden/>
              </w:rPr>
            </w:r>
            <w:r w:rsidR="00345550">
              <w:rPr>
                <w:webHidden/>
              </w:rPr>
              <w:fldChar w:fldCharType="separate"/>
            </w:r>
            <w:r w:rsidR="00345550">
              <w:rPr>
                <w:webHidden/>
              </w:rPr>
              <w:t>3</w:t>
            </w:r>
            <w:r w:rsidR="00345550">
              <w:rPr>
                <w:webHidden/>
              </w:rPr>
              <w:fldChar w:fldCharType="end"/>
            </w:r>
          </w:hyperlink>
        </w:p>
        <w:p w14:paraId="19D218C1" w14:textId="6E29C7BD" w:rsidR="00345550" w:rsidRDefault="003E77E6">
          <w:pPr>
            <w:pStyle w:val="TOC2"/>
            <w:rPr>
              <w:rFonts w:asciiTheme="minorHAnsi" w:eastAsiaTheme="minorEastAsia" w:hAnsiTheme="minorHAnsi" w:cstheme="minorBidi"/>
              <w:sz w:val="22"/>
              <w:szCs w:val="22"/>
            </w:rPr>
          </w:pPr>
          <w:hyperlink w:anchor="_Toc104911806" w:history="1">
            <w:r w:rsidR="00345550" w:rsidRPr="00A60690">
              <w:rPr>
                <w:rStyle w:val="Hyperlink"/>
              </w:rPr>
              <w:t>Recommended Outcomes and Indicators</w:t>
            </w:r>
            <w:r w:rsidR="00345550">
              <w:rPr>
                <w:webHidden/>
              </w:rPr>
              <w:tab/>
            </w:r>
            <w:r w:rsidR="00345550">
              <w:rPr>
                <w:webHidden/>
              </w:rPr>
              <w:fldChar w:fldCharType="begin"/>
            </w:r>
            <w:r w:rsidR="00345550">
              <w:rPr>
                <w:webHidden/>
              </w:rPr>
              <w:instrText xml:space="preserve"> PAGEREF _Toc104911806 \h </w:instrText>
            </w:r>
            <w:r w:rsidR="00345550">
              <w:rPr>
                <w:webHidden/>
              </w:rPr>
            </w:r>
            <w:r w:rsidR="00345550">
              <w:rPr>
                <w:webHidden/>
              </w:rPr>
              <w:fldChar w:fldCharType="separate"/>
            </w:r>
            <w:r w:rsidR="00345550">
              <w:rPr>
                <w:webHidden/>
              </w:rPr>
              <w:t>3</w:t>
            </w:r>
            <w:r w:rsidR="00345550">
              <w:rPr>
                <w:webHidden/>
              </w:rPr>
              <w:fldChar w:fldCharType="end"/>
            </w:r>
          </w:hyperlink>
        </w:p>
        <w:p w14:paraId="2C0C7650" w14:textId="519DFB84" w:rsidR="00345550" w:rsidRDefault="003E77E6">
          <w:pPr>
            <w:pStyle w:val="TOC2"/>
            <w:rPr>
              <w:rFonts w:asciiTheme="minorHAnsi" w:eastAsiaTheme="minorEastAsia" w:hAnsiTheme="minorHAnsi" w:cstheme="minorBidi"/>
              <w:sz w:val="22"/>
              <w:szCs w:val="22"/>
            </w:rPr>
          </w:pPr>
          <w:hyperlink w:anchor="_Toc104911807" w:history="1">
            <w:r w:rsidR="00345550" w:rsidRPr="00A60690">
              <w:rPr>
                <w:rStyle w:val="Hyperlink"/>
              </w:rPr>
              <w:t>Performance Indicator Reference Sheets</w:t>
            </w:r>
            <w:r w:rsidR="00345550">
              <w:rPr>
                <w:webHidden/>
              </w:rPr>
              <w:tab/>
            </w:r>
            <w:r w:rsidR="00345550">
              <w:rPr>
                <w:webHidden/>
              </w:rPr>
              <w:fldChar w:fldCharType="begin"/>
            </w:r>
            <w:r w:rsidR="00345550">
              <w:rPr>
                <w:webHidden/>
              </w:rPr>
              <w:instrText xml:space="preserve"> PAGEREF _Toc104911807 \h </w:instrText>
            </w:r>
            <w:r w:rsidR="00345550">
              <w:rPr>
                <w:webHidden/>
              </w:rPr>
            </w:r>
            <w:r w:rsidR="00345550">
              <w:rPr>
                <w:webHidden/>
              </w:rPr>
              <w:fldChar w:fldCharType="separate"/>
            </w:r>
            <w:r w:rsidR="00345550">
              <w:rPr>
                <w:webHidden/>
              </w:rPr>
              <w:t>5</w:t>
            </w:r>
            <w:r w:rsidR="00345550">
              <w:rPr>
                <w:webHidden/>
              </w:rPr>
              <w:fldChar w:fldCharType="end"/>
            </w:r>
          </w:hyperlink>
        </w:p>
        <w:p w14:paraId="00000034" w14:textId="75239880" w:rsidR="006B799D" w:rsidRPr="0017313A" w:rsidRDefault="00CC1E6B">
          <w:pPr>
            <w:rPr>
              <w:rFonts w:asciiTheme="minorHAnsi" w:hAnsiTheme="minorHAnsi"/>
            </w:rPr>
          </w:pPr>
          <w:r w:rsidRPr="0017313A">
            <w:rPr>
              <w:rFonts w:asciiTheme="minorHAnsi" w:hAnsiTheme="minorHAnsi"/>
            </w:rPr>
            <w:fldChar w:fldCharType="end"/>
          </w:r>
        </w:p>
      </w:sdtContent>
    </w:sdt>
    <w:p w14:paraId="00000035" w14:textId="77777777" w:rsidR="006B799D" w:rsidRPr="0017313A" w:rsidRDefault="006B799D">
      <w:pPr>
        <w:spacing w:after="120"/>
        <w:rPr>
          <w:rFonts w:asciiTheme="minorHAnsi" w:hAnsiTheme="minorHAnsi"/>
        </w:rPr>
      </w:pPr>
    </w:p>
    <w:p w14:paraId="00000036" w14:textId="77777777" w:rsidR="006B799D" w:rsidRPr="0017313A" w:rsidRDefault="00CC1E6B">
      <w:pPr>
        <w:pStyle w:val="Heading1"/>
        <w:rPr>
          <w:rFonts w:asciiTheme="minorHAnsi" w:eastAsia="Gill Sans" w:hAnsiTheme="minorHAnsi" w:cs="Gill Sans"/>
          <w:color w:val="000000"/>
        </w:rPr>
      </w:pPr>
      <w:r w:rsidRPr="0017313A">
        <w:rPr>
          <w:rFonts w:asciiTheme="minorHAnsi" w:hAnsiTheme="minorHAnsi"/>
        </w:rPr>
        <w:br w:type="page"/>
      </w:r>
      <w:bookmarkStart w:id="1" w:name="_Toc104911800"/>
      <w:sdt>
        <w:sdtPr>
          <w:rPr>
            <w:rFonts w:asciiTheme="minorHAnsi" w:hAnsiTheme="minorHAnsi"/>
          </w:rPr>
          <w:tag w:val="goog_rdk_0"/>
          <w:id w:val="2099986905"/>
        </w:sdtPr>
        <w:sdtEndPr/>
        <w:sdtContent/>
      </w:sdt>
      <w:r w:rsidRPr="0017313A">
        <w:rPr>
          <w:rFonts w:asciiTheme="minorHAnsi" w:hAnsiTheme="minorHAnsi"/>
        </w:rPr>
        <w:t>Acronyms</w:t>
      </w:r>
      <w:bookmarkEnd w:id="1"/>
    </w:p>
    <w:tbl>
      <w:tblPr>
        <w:tblStyle w:val="affffffffffff7"/>
        <w:tblW w:w="9355" w:type="dxa"/>
        <w:tblBorders>
          <w:top w:val="nil"/>
          <w:left w:val="nil"/>
          <w:bottom w:val="nil"/>
          <w:right w:val="nil"/>
          <w:insideH w:val="nil"/>
          <w:insideV w:val="nil"/>
        </w:tblBorders>
        <w:tblLayout w:type="fixed"/>
        <w:tblLook w:val="0420" w:firstRow="1" w:lastRow="0" w:firstColumn="0" w:lastColumn="0" w:noHBand="0" w:noVBand="1"/>
      </w:tblPr>
      <w:tblGrid>
        <w:gridCol w:w="1435"/>
        <w:gridCol w:w="7920"/>
      </w:tblGrid>
      <w:tr w:rsidR="006E5585" w:rsidRPr="0017313A" w14:paraId="4C87A66D" w14:textId="77777777" w:rsidTr="003E77E6">
        <w:tc>
          <w:tcPr>
            <w:tcW w:w="1435" w:type="dxa"/>
          </w:tcPr>
          <w:p w14:paraId="12E69037" w14:textId="78E6CA9F" w:rsidR="00895435" w:rsidRDefault="00895435" w:rsidP="00503C85">
            <w:pPr>
              <w:rPr>
                <w:rFonts w:asciiTheme="minorHAnsi" w:hAnsiTheme="minorHAnsi"/>
              </w:rPr>
            </w:pPr>
            <w:r>
              <w:rPr>
                <w:rFonts w:asciiTheme="minorHAnsi" w:hAnsiTheme="minorHAnsi"/>
              </w:rPr>
              <w:t>DHS</w:t>
            </w:r>
          </w:p>
          <w:p w14:paraId="01EA9D1C" w14:textId="43579B1D" w:rsidR="006E5585" w:rsidRPr="0017313A" w:rsidRDefault="006E5585" w:rsidP="00503C85">
            <w:pPr>
              <w:rPr>
                <w:rFonts w:asciiTheme="minorHAnsi" w:hAnsiTheme="minorHAnsi"/>
              </w:rPr>
            </w:pPr>
            <w:r w:rsidRPr="0017313A">
              <w:rPr>
                <w:rFonts w:asciiTheme="minorHAnsi" w:hAnsiTheme="minorHAnsi"/>
              </w:rPr>
              <w:t>HEARTH</w:t>
            </w:r>
          </w:p>
        </w:tc>
        <w:tc>
          <w:tcPr>
            <w:tcW w:w="7920" w:type="dxa"/>
          </w:tcPr>
          <w:p w14:paraId="721BFA6D" w14:textId="3B9FC656" w:rsidR="00895435" w:rsidRDefault="00895435" w:rsidP="00503C85">
            <w:pPr>
              <w:rPr>
                <w:rFonts w:asciiTheme="minorHAnsi" w:hAnsiTheme="minorHAnsi"/>
              </w:rPr>
            </w:pPr>
            <w:r>
              <w:rPr>
                <w:rFonts w:asciiTheme="minorHAnsi" w:hAnsiTheme="minorHAnsi"/>
              </w:rPr>
              <w:t>Demographic and Health Surveys</w:t>
            </w:r>
          </w:p>
          <w:p w14:paraId="2099EF8D" w14:textId="48F82122" w:rsidR="006E5585" w:rsidRPr="0017313A" w:rsidRDefault="006E5585" w:rsidP="00503C85">
            <w:pPr>
              <w:rPr>
                <w:rFonts w:asciiTheme="minorHAnsi" w:hAnsiTheme="minorHAnsi"/>
              </w:rPr>
            </w:pPr>
            <w:r w:rsidRPr="0017313A">
              <w:rPr>
                <w:rFonts w:asciiTheme="minorHAnsi" w:hAnsiTheme="minorHAnsi"/>
              </w:rPr>
              <w:t>Health, Ecosystems, and Agriculture for Resilient Thriving Societies</w:t>
            </w:r>
          </w:p>
        </w:tc>
      </w:tr>
      <w:tr w:rsidR="006E5585" w:rsidRPr="0017313A" w14:paraId="72C00314" w14:textId="77777777" w:rsidTr="003E77E6">
        <w:tc>
          <w:tcPr>
            <w:tcW w:w="1435" w:type="dxa"/>
          </w:tcPr>
          <w:p w14:paraId="0B0888E7" w14:textId="77777777" w:rsidR="006E5585" w:rsidRPr="0017313A" w:rsidRDefault="006E5585" w:rsidP="00503C85">
            <w:pPr>
              <w:rPr>
                <w:rFonts w:asciiTheme="minorHAnsi" w:hAnsiTheme="minorHAnsi"/>
              </w:rPr>
            </w:pPr>
            <w:r w:rsidRPr="0017313A">
              <w:rPr>
                <w:rFonts w:asciiTheme="minorHAnsi" w:hAnsiTheme="minorHAnsi"/>
              </w:rPr>
              <w:t>IIED</w:t>
            </w:r>
          </w:p>
        </w:tc>
        <w:tc>
          <w:tcPr>
            <w:tcW w:w="7920" w:type="dxa"/>
          </w:tcPr>
          <w:p w14:paraId="6178CF92" w14:textId="77777777" w:rsidR="006E5585" w:rsidRPr="0017313A" w:rsidRDefault="006E5585" w:rsidP="00503C85">
            <w:pPr>
              <w:rPr>
                <w:rFonts w:asciiTheme="minorHAnsi" w:hAnsiTheme="minorHAnsi"/>
              </w:rPr>
            </w:pPr>
            <w:r w:rsidRPr="0017313A">
              <w:rPr>
                <w:rFonts w:asciiTheme="minorHAnsi" w:hAnsiTheme="minorHAnsi"/>
              </w:rPr>
              <w:t>International Institute of Environment and Development</w:t>
            </w:r>
          </w:p>
        </w:tc>
      </w:tr>
      <w:tr w:rsidR="006E5585" w:rsidRPr="0017313A" w14:paraId="4A4E564C" w14:textId="77777777" w:rsidTr="003E77E6">
        <w:tc>
          <w:tcPr>
            <w:tcW w:w="1435" w:type="dxa"/>
          </w:tcPr>
          <w:p w14:paraId="0E6F89B6" w14:textId="77777777" w:rsidR="006E5585" w:rsidRPr="0017313A" w:rsidRDefault="006E5585" w:rsidP="00503C85">
            <w:pPr>
              <w:rPr>
                <w:rFonts w:asciiTheme="minorHAnsi" w:hAnsiTheme="minorHAnsi"/>
              </w:rPr>
            </w:pPr>
            <w:r w:rsidRPr="0017313A">
              <w:rPr>
                <w:rFonts w:asciiTheme="minorHAnsi" w:hAnsiTheme="minorHAnsi"/>
              </w:rPr>
              <w:t>INRM</w:t>
            </w:r>
          </w:p>
        </w:tc>
        <w:tc>
          <w:tcPr>
            <w:tcW w:w="7920" w:type="dxa"/>
          </w:tcPr>
          <w:p w14:paraId="6802B107" w14:textId="77777777" w:rsidR="006E5585" w:rsidRPr="0017313A" w:rsidRDefault="006E5585" w:rsidP="00503C85">
            <w:pPr>
              <w:rPr>
                <w:rFonts w:asciiTheme="minorHAnsi" w:hAnsiTheme="minorHAnsi"/>
              </w:rPr>
            </w:pPr>
            <w:r w:rsidRPr="0017313A">
              <w:rPr>
                <w:rFonts w:asciiTheme="minorHAnsi" w:hAnsiTheme="minorHAnsi"/>
              </w:rPr>
              <w:t>Integrated Natural Resource Management</w:t>
            </w:r>
          </w:p>
        </w:tc>
      </w:tr>
      <w:tr w:rsidR="006E5585" w:rsidRPr="0017313A" w14:paraId="5488CB01" w14:textId="77777777" w:rsidTr="003E77E6">
        <w:tc>
          <w:tcPr>
            <w:tcW w:w="1435" w:type="dxa"/>
          </w:tcPr>
          <w:p w14:paraId="0CA9DC58" w14:textId="77777777" w:rsidR="006E5585" w:rsidRDefault="006E5585" w:rsidP="00503C85">
            <w:pPr>
              <w:rPr>
                <w:rFonts w:asciiTheme="minorHAnsi" w:hAnsiTheme="minorHAnsi"/>
              </w:rPr>
            </w:pPr>
            <w:r w:rsidRPr="0017313A">
              <w:rPr>
                <w:rFonts w:asciiTheme="minorHAnsi" w:hAnsiTheme="minorHAnsi"/>
              </w:rPr>
              <w:t xml:space="preserve">IP </w:t>
            </w:r>
          </w:p>
          <w:p w14:paraId="29BEDDFD" w14:textId="77777777" w:rsidR="00BD005B" w:rsidRDefault="00BD005B" w:rsidP="00503C85">
            <w:pPr>
              <w:rPr>
                <w:rFonts w:asciiTheme="minorHAnsi" w:hAnsiTheme="minorHAnsi"/>
              </w:rPr>
            </w:pPr>
            <w:r>
              <w:rPr>
                <w:rFonts w:asciiTheme="minorHAnsi" w:hAnsiTheme="minorHAnsi"/>
              </w:rPr>
              <w:t>MERL</w:t>
            </w:r>
          </w:p>
          <w:p w14:paraId="3A518C02" w14:textId="58BE97E9" w:rsidR="00B96ECD" w:rsidRPr="0017313A" w:rsidRDefault="00B96ECD" w:rsidP="00503C85">
            <w:pPr>
              <w:rPr>
                <w:rFonts w:asciiTheme="minorHAnsi" w:hAnsiTheme="minorHAnsi"/>
              </w:rPr>
            </w:pPr>
            <w:r>
              <w:rPr>
                <w:rFonts w:asciiTheme="minorHAnsi" w:hAnsiTheme="minorHAnsi"/>
              </w:rPr>
              <w:t>STARR II</w:t>
            </w:r>
          </w:p>
        </w:tc>
        <w:tc>
          <w:tcPr>
            <w:tcW w:w="7920" w:type="dxa"/>
          </w:tcPr>
          <w:p w14:paraId="420A9950" w14:textId="77777777" w:rsidR="006E5585" w:rsidRDefault="006E5585" w:rsidP="00503C85">
            <w:pPr>
              <w:rPr>
                <w:rFonts w:asciiTheme="minorHAnsi" w:hAnsiTheme="minorHAnsi"/>
              </w:rPr>
            </w:pPr>
            <w:r w:rsidRPr="0017313A">
              <w:rPr>
                <w:rFonts w:asciiTheme="minorHAnsi" w:hAnsiTheme="minorHAnsi"/>
              </w:rPr>
              <w:t>Implementing Partner</w:t>
            </w:r>
          </w:p>
          <w:p w14:paraId="2209C32F" w14:textId="77777777" w:rsidR="00BD005B" w:rsidRDefault="00BD005B" w:rsidP="00503C85">
            <w:pPr>
              <w:rPr>
                <w:rFonts w:asciiTheme="minorHAnsi" w:hAnsiTheme="minorHAnsi"/>
              </w:rPr>
            </w:pPr>
            <w:r w:rsidRPr="00BD005B">
              <w:rPr>
                <w:rFonts w:asciiTheme="minorHAnsi" w:hAnsiTheme="minorHAnsi"/>
              </w:rPr>
              <w:t>Monitoring, Evaluation, Research, and Learning</w:t>
            </w:r>
          </w:p>
          <w:p w14:paraId="6574FFDE" w14:textId="08310031" w:rsidR="00B96ECD" w:rsidRPr="0017313A" w:rsidRDefault="00B96ECD" w:rsidP="00503C85">
            <w:pPr>
              <w:rPr>
                <w:rFonts w:asciiTheme="minorHAnsi" w:hAnsiTheme="minorHAnsi"/>
              </w:rPr>
            </w:pPr>
            <w:r w:rsidRPr="00B96ECD">
              <w:rPr>
                <w:rFonts w:asciiTheme="minorHAnsi" w:hAnsiTheme="minorHAnsi"/>
              </w:rPr>
              <w:t>Strengthening Tenure and Resource Rights II</w:t>
            </w:r>
          </w:p>
        </w:tc>
      </w:tr>
      <w:tr w:rsidR="006E5585" w:rsidRPr="0017313A" w14:paraId="166385AD" w14:textId="77777777" w:rsidTr="003E77E6">
        <w:tc>
          <w:tcPr>
            <w:tcW w:w="1435" w:type="dxa"/>
          </w:tcPr>
          <w:p w14:paraId="4EFCB4C2" w14:textId="77777777" w:rsidR="006E5585" w:rsidRPr="0017313A" w:rsidRDefault="006E5585" w:rsidP="00503C85">
            <w:pPr>
              <w:rPr>
                <w:rFonts w:asciiTheme="minorHAnsi" w:hAnsiTheme="minorHAnsi"/>
              </w:rPr>
            </w:pPr>
            <w:r w:rsidRPr="0017313A">
              <w:rPr>
                <w:rFonts w:asciiTheme="minorHAnsi" w:hAnsiTheme="minorHAnsi"/>
              </w:rPr>
              <w:t>USAID</w:t>
            </w:r>
          </w:p>
        </w:tc>
        <w:tc>
          <w:tcPr>
            <w:tcW w:w="7920" w:type="dxa"/>
          </w:tcPr>
          <w:p w14:paraId="4FAF6286" w14:textId="77777777" w:rsidR="006E5585" w:rsidRPr="0017313A" w:rsidRDefault="006E5585" w:rsidP="00503C85">
            <w:pPr>
              <w:rPr>
                <w:rFonts w:asciiTheme="minorHAnsi" w:hAnsiTheme="minorHAnsi"/>
              </w:rPr>
            </w:pPr>
            <w:r w:rsidRPr="0017313A">
              <w:rPr>
                <w:rFonts w:asciiTheme="minorHAnsi" w:hAnsiTheme="minorHAnsi"/>
              </w:rPr>
              <w:t>United States Agency for International Development</w:t>
            </w:r>
          </w:p>
        </w:tc>
      </w:tr>
      <w:tr w:rsidR="006E5585" w:rsidRPr="0017313A" w14:paraId="4D11E67F" w14:textId="77777777" w:rsidTr="003E77E6">
        <w:tc>
          <w:tcPr>
            <w:tcW w:w="1435" w:type="dxa"/>
          </w:tcPr>
          <w:p w14:paraId="030BECE8" w14:textId="77777777" w:rsidR="006E5585" w:rsidRPr="0017313A" w:rsidRDefault="006E5585" w:rsidP="00503C85">
            <w:pPr>
              <w:rPr>
                <w:rFonts w:asciiTheme="minorHAnsi" w:hAnsiTheme="minorHAnsi"/>
              </w:rPr>
            </w:pPr>
            <w:r w:rsidRPr="0017313A">
              <w:rPr>
                <w:rFonts w:asciiTheme="minorHAnsi" w:hAnsiTheme="minorHAnsi"/>
              </w:rPr>
              <w:t>USD</w:t>
            </w:r>
          </w:p>
        </w:tc>
        <w:tc>
          <w:tcPr>
            <w:tcW w:w="7920" w:type="dxa"/>
          </w:tcPr>
          <w:p w14:paraId="7B8C3673" w14:textId="77777777" w:rsidR="006E5585" w:rsidRPr="0017313A" w:rsidRDefault="006E5585" w:rsidP="00503C85">
            <w:pPr>
              <w:rPr>
                <w:rFonts w:asciiTheme="minorHAnsi" w:hAnsiTheme="minorHAnsi"/>
              </w:rPr>
            </w:pPr>
            <w:r w:rsidRPr="0017313A">
              <w:rPr>
                <w:rFonts w:asciiTheme="minorHAnsi" w:hAnsiTheme="minorHAnsi"/>
              </w:rPr>
              <w:t>United States Dollar</w:t>
            </w:r>
          </w:p>
        </w:tc>
      </w:tr>
    </w:tbl>
    <w:p w14:paraId="000000C9" w14:textId="77777777" w:rsidR="006B799D" w:rsidRPr="0017313A" w:rsidRDefault="006B799D">
      <w:pPr>
        <w:rPr>
          <w:rFonts w:asciiTheme="minorHAnsi" w:hAnsiTheme="minorHAnsi"/>
        </w:rPr>
        <w:sectPr w:rsidR="006B799D" w:rsidRPr="0017313A" w:rsidSect="00345550">
          <w:footerReference w:type="even" r:id="rId14"/>
          <w:footerReference w:type="default" r:id="rId15"/>
          <w:headerReference w:type="first" r:id="rId16"/>
          <w:footerReference w:type="first" r:id="rId17"/>
          <w:pgSz w:w="12240" w:h="15840"/>
          <w:pgMar w:top="1440" w:right="1440" w:bottom="1440" w:left="1440" w:header="720" w:footer="720" w:gutter="0"/>
          <w:pgNumType w:fmt="lowerRoman" w:start="1"/>
          <w:cols w:space="720"/>
          <w:titlePg/>
        </w:sectPr>
      </w:pPr>
    </w:p>
    <w:p w14:paraId="614E93B6" w14:textId="77777777" w:rsidR="002A6CC4" w:rsidRPr="002A6CC4" w:rsidRDefault="002A6CC4" w:rsidP="002A6CC4">
      <w:pPr>
        <w:keepNext/>
        <w:keepLines/>
        <w:spacing w:before="240" w:line="240" w:lineRule="auto"/>
        <w:outlineLvl w:val="0"/>
        <w:rPr>
          <w:rFonts w:asciiTheme="minorHAnsi" w:eastAsia="Lato Light" w:hAnsiTheme="minorHAnsi" w:cs="Lato Light"/>
          <w:color w:val="002F6C" w:themeColor="text2"/>
          <w:sz w:val="70"/>
          <w:szCs w:val="70"/>
        </w:rPr>
      </w:pPr>
      <w:bookmarkStart w:id="2" w:name="_Toc103793318"/>
      <w:bookmarkStart w:id="3" w:name="_Toc104892217"/>
      <w:bookmarkStart w:id="4" w:name="_Toc104911801"/>
      <w:r w:rsidRPr="002A6CC4">
        <w:rPr>
          <w:rFonts w:asciiTheme="minorHAnsi" w:eastAsia="Lato Light" w:hAnsiTheme="minorHAnsi" w:cs="Lato Light"/>
          <w:color w:val="002F6C" w:themeColor="text2"/>
          <w:sz w:val="70"/>
          <w:szCs w:val="70"/>
        </w:rPr>
        <w:lastRenderedPageBreak/>
        <w:t>Overview</w:t>
      </w:r>
      <w:bookmarkEnd w:id="2"/>
      <w:bookmarkEnd w:id="3"/>
      <w:bookmarkEnd w:id="4"/>
    </w:p>
    <w:p w14:paraId="1E858862" w14:textId="77777777" w:rsidR="002A6CC4" w:rsidRPr="002A6CC4" w:rsidRDefault="002A6CC4" w:rsidP="002A6CC4">
      <w:pPr>
        <w:rPr>
          <w:rFonts w:asciiTheme="minorHAnsi" w:hAnsiTheme="minorHAnsi"/>
        </w:rPr>
      </w:pPr>
      <w:r w:rsidRPr="002A6CC4">
        <w:rPr>
          <w:rFonts w:asciiTheme="minorHAnsi" w:hAnsiTheme="minorHAnsi"/>
        </w:rPr>
        <w:t xml:space="preserve">Together, Health, Ecosystems, and Agriculture for Resilient Thriving Societies (HEARTH) and INRM have created the HEARTH Monitoring and Evaluation Toolkit, a suite of indicators and guidance that will help United States Agency for International Development (USAID) Missions and implementing partners (IPs) monitor progress and aggregate common metrics to build the evidence base around the effectiveness of integrated strategic approaches. This document is an individual module from the toolkit, presented separately to facilitate use by individual HEARTH activities. Before using this module, we recommend first accessing the full toolkit and reviewing the list of sectors covered by each module, and determining which are most relevant for your activity: </w:t>
      </w:r>
    </w:p>
    <w:p w14:paraId="03CDD439" w14:textId="77777777" w:rsidR="002A6CC4" w:rsidRPr="002A6CC4" w:rsidRDefault="003E77E6" w:rsidP="002A6CC4">
      <w:pPr>
        <w:rPr>
          <w:rFonts w:asciiTheme="minorHAnsi" w:hAnsiTheme="minorHAnsi"/>
        </w:rPr>
      </w:pPr>
      <w:hyperlink r:id="rId18">
        <w:r w:rsidR="002A6CC4" w:rsidRPr="002A6CC4">
          <w:rPr>
            <w:rFonts w:asciiTheme="minorHAnsi" w:hAnsiTheme="minorHAnsi"/>
            <w:color w:val="1155CC"/>
            <w:u w:val="single"/>
          </w:rPr>
          <w:t>Access Full Toolkit on Biodiversity Links Here</w:t>
        </w:r>
      </w:hyperlink>
      <w:r w:rsidR="002A6CC4" w:rsidRPr="002A6CC4">
        <w:rPr>
          <w:rFonts w:asciiTheme="minorHAnsi" w:hAnsiTheme="minorHAnsi"/>
          <w:color w:val="1155CC"/>
          <w:u w:val="single"/>
        </w:rPr>
        <w:t>.</w:t>
      </w:r>
    </w:p>
    <w:p w14:paraId="0A53402A" w14:textId="77777777" w:rsidR="002A6CC4" w:rsidRPr="002A6CC4" w:rsidRDefault="002A6CC4" w:rsidP="002A6CC4">
      <w:pPr>
        <w:keepNext/>
        <w:keepLines/>
        <w:spacing w:before="360" w:after="120" w:line="240" w:lineRule="auto"/>
        <w:outlineLvl w:val="1"/>
        <w:rPr>
          <w:rFonts w:asciiTheme="minorHAnsi" w:eastAsia="Lato Light" w:hAnsiTheme="minorHAnsi" w:cs="Lato Light"/>
          <w:color w:val="004A8C" w:themeColor="accent1" w:themeShade="BF"/>
          <w:sz w:val="48"/>
          <w:szCs w:val="48"/>
        </w:rPr>
      </w:pPr>
      <w:bookmarkStart w:id="5" w:name="_Toc101788453"/>
      <w:bookmarkStart w:id="6" w:name="_Toc104892218"/>
      <w:bookmarkStart w:id="7" w:name="_Toc104911802"/>
      <w:r w:rsidRPr="002A6CC4">
        <w:rPr>
          <w:rFonts w:asciiTheme="minorHAnsi" w:eastAsia="Lato Light" w:hAnsiTheme="minorHAnsi" w:cs="Lato Light"/>
          <w:color w:val="004A8C" w:themeColor="accent1" w:themeShade="BF"/>
          <w:sz w:val="48"/>
          <w:szCs w:val="48"/>
        </w:rPr>
        <w:t xml:space="preserve">How To </w:t>
      </w:r>
      <w:r w:rsidRPr="002A6CC4">
        <w:rPr>
          <w:rFonts w:asciiTheme="minorHAnsi" w:eastAsia="Lato Light" w:hAnsiTheme="minorHAnsi" w:cs="Lato Light"/>
          <w:color w:val="004A8C"/>
          <w:sz w:val="48"/>
          <w:szCs w:val="48"/>
        </w:rPr>
        <w:t>Use This Toolkit</w:t>
      </w:r>
      <w:bookmarkEnd w:id="5"/>
      <w:bookmarkEnd w:id="6"/>
      <w:bookmarkEnd w:id="7"/>
      <w:r w:rsidRPr="002A6CC4">
        <w:rPr>
          <w:rFonts w:asciiTheme="minorHAnsi" w:eastAsia="Lato Light" w:hAnsiTheme="minorHAnsi" w:cs="Lato Light"/>
          <w:color w:val="004A8C" w:themeColor="accent1" w:themeShade="BF"/>
          <w:sz w:val="48"/>
          <w:szCs w:val="48"/>
        </w:rPr>
        <w:t xml:space="preserve">  </w:t>
      </w:r>
    </w:p>
    <w:p w14:paraId="36D13A3D" w14:textId="77777777" w:rsidR="002A6CC4" w:rsidRPr="002A6CC4" w:rsidRDefault="002A6CC4" w:rsidP="002A6CC4">
      <w:pPr>
        <w:spacing w:line="275" w:lineRule="auto"/>
        <w:textDirection w:val="btLr"/>
        <w:rPr>
          <w:rFonts w:asciiTheme="minorHAnsi" w:hAnsiTheme="minorHAnsi"/>
        </w:rPr>
      </w:pPr>
      <w:r w:rsidRPr="002A6CC4">
        <w:rPr>
          <w:rFonts w:asciiTheme="minorHAnsi" w:eastAsia="Gill Sans" w:hAnsiTheme="minorHAnsi" w:cs="Gill Sans"/>
          <w:color w:val="000000"/>
        </w:rPr>
        <w:t xml:space="preserve">This toolkit presents a </w:t>
      </w:r>
      <w:r w:rsidRPr="002A6CC4">
        <w:rPr>
          <w:rFonts w:asciiTheme="minorHAnsi" w:eastAsia="Gill Sans" w:hAnsiTheme="minorHAnsi" w:cs="Gill Sans"/>
          <w:b/>
          <w:color w:val="000000"/>
        </w:rPr>
        <w:t xml:space="preserve">menu of options </w:t>
      </w:r>
      <w:r w:rsidRPr="002A6CC4">
        <w:rPr>
          <w:rFonts w:asciiTheme="minorHAnsi" w:eastAsia="Gill Sans" w:hAnsiTheme="minorHAnsi" w:cs="Gill Sans"/>
          <w:color w:val="000000"/>
        </w:rPr>
        <w:t xml:space="preserve">for outcomes and recommended indicators across the HEARTH activities. Before using this toolkit, activities should have developed a robust theory of change – through first drafting their situation model and results chains during the co-design workshops, many of which have been completed already, and then validating and refining those results chains during start-up workshops. </w:t>
      </w:r>
    </w:p>
    <w:p w14:paraId="13B40BBB" w14:textId="77777777" w:rsidR="002A6CC4" w:rsidRPr="002A6CC4" w:rsidRDefault="002A6CC4" w:rsidP="002A6CC4">
      <w:pPr>
        <w:spacing w:line="275" w:lineRule="auto"/>
        <w:textDirection w:val="btLr"/>
        <w:rPr>
          <w:rFonts w:asciiTheme="minorHAnsi" w:hAnsiTheme="minorHAnsi"/>
        </w:rPr>
      </w:pPr>
      <w:r w:rsidRPr="002A6CC4">
        <w:rPr>
          <w:rFonts w:asciiTheme="minorHAnsi" w:eastAsia="Gill Sans" w:hAnsiTheme="minorHAnsi" w:cs="Gill Sans"/>
          <w:color w:val="000000"/>
        </w:rPr>
        <w:t xml:space="preserve">Based on the activity theory of change, HEARTHs should develop their Activity Monitoring, Evaluation, Research, and Learning (MERL) Plan, which should draw directly from the toolkit. It is not expected that all outcomes or indicators will be relevant for all activities, but that activities should select those in line with their results chains and activity theory of change. Additionally, there might be activity-specific outcomes not included in this toolkit because they were not generally applicable across the HEARTH portfolio, and Missions and IPs should therefore include additional indicators in their MERL plans, as relevant. </w:t>
      </w:r>
    </w:p>
    <w:p w14:paraId="7D32C90A" w14:textId="77777777" w:rsidR="002A6CC4" w:rsidRPr="002A6CC4" w:rsidRDefault="002A6CC4" w:rsidP="002A6CC4">
      <w:pPr>
        <w:spacing w:line="275" w:lineRule="auto"/>
        <w:textDirection w:val="btLr"/>
        <w:rPr>
          <w:rFonts w:asciiTheme="minorHAnsi" w:hAnsiTheme="minorHAnsi"/>
        </w:rPr>
      </w:pPr>
      <w:r w:rsidRPr="002A6CC4">
        <w:rPr>
          <w:rFonts w:asciiTheme="minorHAnsi" w:eastAsia="Gill Sans" w:hAnsiTheme="minorHAnsi" w:cs="Gill Sans"/>
          <w:color w:val="000000"/>
        </w:rPr>
        <w:t xml:space="preserve">When developing activity MERL plans, the indicators in this toolkit are intended to be used both to </w:t>
      </w:r>
      <w:r w:rsidRPr="002A6CC4">
        <w:rPr>
          <w:rFonts w:asciiTheme="minorHAnsi" w:eastAsia="Gill Sans" w:hAnsiTheme="minorHAnsi" w:cs="Gill Sans"/>
          <w:b/>
          <w:color w:val="000000"/>
        </w:rPr>
        <w:t>standardize reporting for monitoring data, as well as a basis for evaluation data collection</w:t>
      </w:r>
      <w:r w:rsidRPr="002A6CC4">
        <w:rPr>
          <w:rFonts w:asciiTheme="minorHAnsi" w:eastAsia="Gill Sans" w:hAnsiTheme="minorHAnsi" w:cs="Gill Sans"/>
          <w:color w:val="000000"/>
        </w:rPr>
        <w:t xml:space="preserve">. While monitoring trends in these indicators over time may be important for some activities, USAID anticipates that Missions and IPs will also identify important questions about the causal impact of their activities during the start-up activities, best answered using evaluation approaches. Which indicators will be part of monitoring systems, and which will be used to answer evaluation questions, will affect how the toolkit is </w:t>
      </w:r>
      <w:proofErr w:type="gramStart"/>
      <w:r w:rsidRPr="002A6CC4">
        <w:rPr>
          <w:rFonts w:asciiTheme="minorHAnsi" w:eastAsia="Gill Sans" w:hAnsiTheme="minorHAnsi" w:cs="Gill Sans"/>
          <w:color w:val="000000"/>
        </w:rPr>
        <w:t>operationalized.</w:t>
      </w:r>
      <w:proofErr w:type="gramEnd"/>
      <w:r w:rsidRPr="002A6CC4">
        <w:rPr>
          <w:rFonts w:asciiTheme="minorHAnsi" w:eastAsia="Gill Sans" w:hAnsiTheme="minorHAnsi" w:cs="Gill Sans"/>
          <w:color w:val="000000"/>
        </w:rPr>
        <w:t xml:space="preserve"> In addition, it is expected that MERL plans will likely include </w:t>
      </w:r>
      <w:r w:rsidRPr="002A6CC4">
        <w:rPr>
          <w:rFonts w:asciiTheme="minorHAnsi" w:eastAsia="Gill Sans" w:hAnsiTheme="minorHAnsi" w:cs="Gill Sans"/>
          <w:b/>
          <w:color w:val="000000"/>
        </w:rPr>
        <w:t>qualitative data sources</w:t>
      </w:r>
      <w:r w:rsidRPr="002A6CC4">
        <w:rPr>
          <w:rFonts w:asciiTheme="minorHAnsi" w:eastAsia="Gill Sans" w:hAnsiTheme="minorHAnsi" w:cs="Gill Sans"/>
          <w:color w:val="000000"/>
        </w:rPr>
        <w:t xml:space="preserve">, important to further explaining monitoring and evaluation results and exploring learning questions in more depth, in addition to the quantitative data collected using the approaches from the toolkit. </w:t>
      </w:r>
    </w:p>
    <w:p w14:paraId="2057891C" w14:textId="77777777" w:rsidR="002A6CC4" w:rsidRPr="002A6CC4" w:rsidRDefault="002A6CC4" w:rsidP="002A6CC4">
      <w:pPr>
        <w:rPr>
          <w:rFonts w:asciiTheme="minorHAnsi" w:hAnsiTheme="minorHAnsi"/>
        </w:rPr>
      </w:pPr>
    </w:p>
    <w:p w14:paraId="6319A9F2" w14:textId="79938ECA" w:rsidR="002A6CC4" w:rsidRPr="002A6CC4" w:rsidRDefault="002A6CC4" w:rsidP="002A6CC4">
      <w:pPr>
        <w:rPr>
          <w:rFonts w:asciiTheme="minorHAnsi" w:hAnsiTheme="minorHAnsi"/>
          <w:sz w:val="24"/>
          <w:szCs w:val="24"/>
        </w:rPr>
      </w:pPr>
      <w:r w:rsidRPr="002A6CC4">
        <w:rPr>
          <w:rFonts w:asciiTheme="minorHAnsi" w:hAnsiTheme="minorHAnsi"/>
          <w:noProof/>
        </w:rPr>
        <w:lastRenderedPageBreak/>
        <w:drawing>
          <wp:inline distT="0" distB="0" distL="0" distR="0" wp14:anchorId="675BC844" wp14:editId="4D6FFAAC">
            <wp:extent cx="5827192" cy="1880095"/>
            <wp:effectExtent l="0" t="0" r="2540" b="6350"/>
            <wp:docPr id="6" name="Shape 5" descr="Diagram&#10;"/>
            <wp:cNvGraphicFramePr/>
            <a:graphic xmlns:a="http://schemas.openxmlformats.org/drawingml/2006/main">
              <a:graphicData uri="http://schemas.openxmlformats.org/drawingml/2006/picture">
                <pic:pic xmlns:pic="http://schemas.openxmlformats.org/drawingml/2006/picture">
                  <pic:nvPicPr>
                    <pic:cNvPr id="6" name="Shape 5" descr="Diagram&#10;"/>
                    <pic:cNvPicPr preferRelativeResize="0"/>
                  </pic:nvPicPr>
                  <pic:blipFill rotWithShape="1">
                    <a:blip r:embed="rId19" cstate="print">
                      <a:alphaModFix/>
                      <a:extLst>
                        <a:ext uri="{28A0092B-C50C-407E-A947-70E740481C1C}">
                          <a14:useLocalDpi xmlns:a14="http://schemas.microsoft.com/office/drawing/2010/main" val="0"/>
                        </a:ext>
                      </a:extLst>
                    </a:blip>
                    <a:srcRect/>
                    <a:stretch/>
                  </pic:blipFill>
                  <pic:spPr>
                    <a:xfrm>
                      <a:off x="0" y="0"/>
                      <a:ext cx="5827192" cy="1880095"/>
                    </a:xfrm>
                    <a:prstGeom prst="rect">
                      <a:avLst/>
                    </a:prstGeom>
                    <a:noFill/>
                    <a:ln>
                      <a:noFill/>
                    </a:ln>
                  </pic:spPr>
                </pic:pic>
              </a:graphicData>
            </a:graphic>
          </wp:inline>
        </w:drawing>
      </w:r>
      <w:bookmarkStart w:id="8" w:name="_heading=h.z23za1n5yl0x" w:colFirst="0" w:colLast="0"/>
      <w:bookmarkEnd w:id="8"/>
    </w:p>
    <w:p w14:paraId="000000D2" w14:textId="7369BE77" w:rsidR="006B799D" w:rsidRPr="0017313A" w:rsidRDefault="00CC1E6B" w:rsidP="002A6CC4">
      <w:pPr>
        <w:pStyle w:val="Heading2"/>
      </w:pPr>
      <w:bookmarkStart w:id="9" w:name="_Toc104911803"/>
      <w:r w:rsidRPr="0017313A">
        <w:t xml:space="preserve">Outcomes and Indicators for </w:t>
      </w:r>
      <w:r w:rsidR="00184B36" w:rsidRPr="0017313A">
        <w:t>G</w:t>
      </w:r>
      <w:r w:rsidR="00A557DB" w:rsidRPr="0017313A">
        <w:t>overnance</w:t>
      </w:r>
      <w:bookmarkEnd w:id="9"/>
    </w:p>
    <w:p w14:paraId="000000E3" w14:textId="2A700100" w:rsidR="006B799D" w:rsidRPr="0017313A" w:rsidRDefault="00CC1E6B" w:rsidP="0023144A">
      <w:pPr>
        <w:keepNext/>
        <w:pBdr>
          <w:top w:val="nil"/>
          <w:left w:val="nil"/>
          <w:bottom w:val="nil"/>
          <w:right w:val="nil"/>
          <w:between w:val="nil"/>
        </w:pBdr>
        <w:spacing w:after="200" w:line="240" w:lineRule="auto"/>
        <w:rPr>
          <w:rFonts w:asciiTheme="minorHAnsi" w:eastAsia="Gill Sans" w:hAnsiTheme="minorHAnsi" w:cs="Gill Sans"/>
          <w:i/>
          <w:color w:val="002F6C"/>
          <w:sz w:val="18"/>
          <w:szCs w:val="18"/>
        </w:rPr>
      </w:pPr>
      <w:bookmarkStart w:id="10" w:name="bookmark=id.3znysh7" w:colFirst="0" w:colLast="0"/>
      <w:bookmarkStart w:id="11" w:name="_heading=h.2et92p0" w:colFirst="0" w:colLast="0"/>
      <w:bookmarkEnd w:id="10"/>
      <w:bookmarkEnd w:id="11"/>
      <w:r w:rsidRPr="0017313A">
        <w:rPr>
          <w:rFonts w:asciiTheme="minorHAnsi" w:eastAsia="Gill Sans" w:hAnsiTheme="minorHAnsi" w:cs="Gill Sans"/>
          <w:b/>
          <w:i/>
          <w:color w:val="002F6C"/>
          <w:sz w:val="18"/>
          <w:szCs w:val="18"/>
        </w:rPr>
        <w:t>Table 1:</w:t>
      </w:r>
      <w:r w:rsidRPr="0017313A">
        <w:rPr>
          <w:rFonts w:asciiTheme="minorHAnsi" w:eastAsia="Gill Sans" w:hAnsiTheme="minorHAnsi" w:cs="Gill Sans"/>
          <w:i/>
          <w:color w:val="002F6C"/>
          <w:sz w:val="18"/>
          <w:szCs w:val="18"/>
        </w:rPr>
        <w:t xml:space="preserve"> Overview of Outcomes and Recommended Indicators for the </w:t>
      </w:r>
      <w:r w:rsidR="006A0D90" w:rsidRPr="0017313A">
        <w:rPr>
          <w:rFonts w:asciiTheme="minorHAnsi" w:eastAsia="Gill Sans" w:hAnsiTheme="minorHAnsi" w:cs="Gill Sans"/>
          <w:i/>
          <w:color w:val="002F6C"/>
          <w:sz w:val="18"/>
          <w:szCs w:val="18"/>
        </w:rPr>
        <w:t>Governance</w:t>
      </w:r>
      <w:r w:rsidR="006866A4" w:rsidRPr="0017313A">
        <w:rPr>
          <w:rFonts w:asciiTheme="minorHAnsi" w:eastAsia="Gill Sans" w:hAnsiTheme="minorHAnsi" w:cs="Gill Sans"/>
          <w:i/>
          <w:color w:val="002F6C"/>
          <w:sz w:val="18"/>
          <w:szCs w:val="18"/>
        </w:rPr>
        <w:t xml:space="preserve"> Sector</w:t>
      </w:r>
      <w:r w:rsidRPr="0017313A">
        <w:rPr>
          <w:rFonts w:asciiTheme="minorHAnsi" w:eastAsia="Gill Sans" w:hAnsiTheme="minorHAnsi" w:cs="Gill Sans"/>
          <w:i/>
          <w:color w:val="002F6C"/>
          <w:sz w:val="18"/>
          <w:szCs w:val="18"/>
        </w:rPr>
        <w:t>.</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3415"/>
        <w:gridCol w:w="4860"/>
      </w:tblGrid>
      <w:tr w:rsidR="00264423" w:rsidRPr="0017313A" w14:paraId="2F1DD24C" w14:textId="77777777" w:rsidTr="00264423">
        <w:trPr>
          <w:tblHeader/>
        </w:trPr>
        <w:tc>
          <w:tcPr>
            <w:tcW w:w="3415" w:type="dxa"/>
            <w:shd w:val="clear" w:color="auto" w:fill="002F6C"/>
            <w:vAlign w:val="center"/>
          </w:tcPr>
          <w:p w14:paraId="5E60BF67" w14:textId="77777777" w:rsidR="00264423" w:rsidRPr="0017313A" w:rsidRDefault="00264423" w:rsidP="00503C85">
            <w:pPr>
              <w:spacing w:after="0"/>
              <w:rPr>
                <w:rFonts w:asciiTheme="minorHAnsi" w:eastAsia="Gill Sans" w:hAnsiTheme="minorHAnsi" w:cs="Gill Sans"/>
                <w:b/>
              </w:rPr>
            </w:pPr>
            <w:r w:rsidRPr="0017313A">
              <w:rPr>
                <w:rFonts w:asciiTheme="minorHAnsi" w:eastAsia="Gill Sans" w:hAnsiTheme="minorHAnsi" w:cs="Gill Sans"/>
                <w:b/>
              </w:rPr>
              <w:t xml:space="preserve">Outcomes </w:t>
            </w:r>
          </w:p>
        </w:tc>
        <w:tc>
          <w:tcPr>
            <w:tcW w:w="4860" w:type="dxa"/>
            <w:shd w:val="clear" w:color="auto" w:fill="002F6C"/>
            <w:vAlign w:val="center"/>
          </w:tcPr>
          <w:p w14:paraId="409BABE2" w14:textId="77777777" w:rsidR="00264423" w:rsidRPr="0017313A" w:rsidRDefault="00264423" w:rsidP="00503C85">
            <w:pPr>
              <w:spacing w:after="0"/>
              <w:rPr>
                <w:rFonts w:asciiTheme="minorHAnsi" w:eastAsia="Gill Sans" w:hAnsiTheme="minorHAnsi" w:cs="Gill Sans"/>
                <w:b/>
              </w:rPr>
            </w:pPr>
            <w:r w:rsidRPr="0017313A">
              <w:rPr>
                <w:rFonts w:asciiTheme="minorHAnsi" w:eastAsia="Gill Sans" w:hAnsiTheme="minorHAnsi" w:cs="Gill Sans"/>
                <w:b/>
              </w:rPr>
              <w:t>HEARTH Portfolio Indicators</w:t>
            </w:r>
          </w:p>
        </w:tc>
      </w:tr>
      <w:tr w:rsidR="00264423" w:rsidRPr="0017313A" w14:paraId="506B4CF1" w14:textId="77777777" w:rsidTr="00264423">
        <w:tc>
          <w:tcPr>
            <w:tcW w:w="3415" w:type="dxa"/>
            <w:shd w:val="clear" w:color="auto" w:fill="auto"/>
            <w:vAlign w:val="center"/>
          </w:tcPr>
          <w:p w14:paraId="39B397E0" w14:textId="77777777" w:rsidR="00264423" w:rsidRPr="0017313A" w:rsidRDefault="00264423" w:rsidP="0023144A">
            <w:pPr>
              <w:numPr>
                <w:ilvl w:val="0"/>
                <w:numId w:val="11"/>
              </w:numPr>
              <w:pBdr>
                <w:top w:val="nil"/>
                <w:left w:val="nil"/>
                <w:bottom w:val="nil"/>
                <w:right w:val="nil"/>
                <w:between w:val="nil"/>
              </w:pBdr>
              <w:spacing w:after="0"/>
              <w:rPr>
                <w:rFonts w:asciiTheme="minorHAnsi" w:eastAsia="Gill Sans" w:hAnsiTheme="minorHAnsi" w:cs="Gill Sans"/>
                <w:color w:val="0064B9"/>
                <w:u w:val="single"/>
              </w:rPr>
            </w:pPr>
            <w:r w:rsidRPr="0017313A">
              <w:rPr>
                <w:rFonts w:asciiTheme="minorHAnsi" w:hAnsiTheme="minorHAnsi"/>
              </w:rPr>
              <w:fldChar w:fldCharType="begin"/>
            </w:r>
            <w:r w:rsidRPr="0017313A">
              <w:rPr>
                <w:rFonts w:asciiTheme="minorHAnsi" w:hAnsiTheme="minorHAnsi"/>
              </w:rPr>
              <w:instrText xml:space="preserve"> HYPERLINK \l "bookmark=id.2fk6b3p" </w:instrText>
            </w:r>
            <w:r w:rsidRPr="0017313A">
              <w:rPr>
                <w:rFonts w:asciiTheme="minorHAnsi" w:hAnsiTheme="minorHAnsi"/>
              </w:rPr>
              <w:fldChar w:fldCharType="separate"/>
            </w:r>
            <w:r w:rsidRPr="0017313A">
              <w:rPr>
                <w:rFonts w:asciiTheme="minorHAnsi" w:eastAsia="Gill Sans" w:hAnsiTheme="minorHAnsi" w:cs="Gill Sans"/>
                <w:color w:val="0064B9"/>
                <w:u w:val="single"/>
              </w:rPr>
              <w:t xml:space="preserve">Increased community participation in resource governance </w:t>
            </w:r>
          </w:p>
          <w:p w14:paraId="39D649BD" w14:textId="77777777" w:rsidR="00264423" w:rsidRPr="0017313A" w:rsidRDefault="00264423" w:rsidP="0023144A">
            <w:pPr>
              <w:numPr>
                <w:ilvl w:val="0"/>
                <w:numId w:val="11"/>
              </w:numPr>
              <w:pBdr>
                <w:top w:val="nil"/>
                <w:left w:val="nil"/>
                <w:bottom w:val="nil"/>
                <w:right w:val="nil"/>
                <w:between w:val="nil"/>
              </w:pBdr>
              <w:spacing w:after="0"/>
              <w:rPr>
                <w:rFonts w:asciiTheme="minorHAnsi" w:eastAsia="Gill Sans" w:hAnsiTheme="minorHAnsi" w:cs="Gill Sans"/>
                <w:color w:val="0064B9"/>
                <w:u w:val="single"/>
              </w:rPr>
            </w:pPr>
            <w:r w:rsidRPr="0017313A">
              <w:rPr>
                <w:rFonts w:asciiTheme="minorHAnsi" w:eastAsia="Gill Sans" w:hAnsiTheme="minorHAnsi" w:cs="Gill Sans"/>
                <w:color w:val="0064B9"/>
                <w:u w:val="single"/>
              </w:rPr>
              <w:t>Increased rights and/or security</w:t>
            </w:r>
          </w:p>
          <w:p w14:paraId="6CD79792" w14:textId="77777777" w:rsidR="00264423" w:rsidRPr="0017313A" w:rsidRDefault="00264423" w:rsidP="0023144A">
            <w:pPr>
              <w:numPr>
                <w:ilvl w:val="0"/>
                <w:numId w:val="11"/>
              </w:numPr>
              <w:pBdr>
                <w:top w:val="nil"/>
                <w:left w:val="nil"/>
                <w:bottom w:val="nil"/>
                <w:right w:val="nil"/>
                <w:between w:val="nil"/>
              </w:pBdr>
              <w:spacing w:after="0"/>
              <w:rPr>
                <w:rFonts w:asciiTheme="minorHAnsi" w:eastAsia="Gill Sans" w:hAnsiTheme="minorHAnsi" w:cs="Gill Sans"/>
                <w:color w:val="0064B9"/>
                <w:u w:val="single"/>
              </w:rPr>
            </w:pPr>
            <w:r w:rsidRPr="0017313A">
              <w:rPr>
                <w:rFonts w:asciiTheme="minorHAnsi" w:eastAsia="Gill Sans" w:hAnsiTheme="minorHAnsi" w:cs="Gill Sans"/>
                <w:color w:val="0064B9"/>
                <w:u w:val="single"/>
              </w:rPr>
              <w:t>Strengthened resolution mechanisms</w:t>
            </w:r>
          </w:p>
          <w:p w14:paraId="25DEB9EC" w14:textId="77777777" w:rsidR="00264423" w:rsidRPr="0017313A" w:rsidRDefault="00264423" w:rsidP="0023144A">
            <w:pPr>
              <w:numPr>
                <w:ilvl w:val="0"/>
                <w:numId w:val="11"/>
              </w:numPr>
              <w:pBdr>
                <w:top w:val="nil"/>
                <w:left w:val="nil"/>
                <w:bottom w:val="nil"/>
                <w:right w:val="nil"/>
                <w:between w:val="nil"/>
              </w:pBdr>
              <w:spacing w:after="0"/>
              <w:rPr>
                <w:rFonts w:asciiTheme="minorHAnsi" w:eastAsia="Gill Sans" w:hAnsiTheme="minorHAnsi" w:cs="Gill Sans"/>
                <w:color w:val="000000"/>
              </w:rPr>
            </w:pPr>
            <w:r w:rsidRPr="0017313A">
              <w:rPr>
                <w:rFonts w:asciiTheme="minorHAnsi" w:eastAsia="Gill Sans" w:hAnsiTheme="minorHAnsi" w:cs="Gill Sans"/>
                <w:color w:val="0064B9"/>
                <w:u w:val="single"/>
              </w:rPr>
              <w:t>Improved monitoring and enforcement</w:t>
            </w:r>
            <w:r w:rsidRPr="0017313A">
              <w:rPr>
                <w:rFonts w:asciiTheme="minorHAnsi" w:hAnsiTheme="minorHAnsi"/>
              </w:rPr>
              <w:fldChar w:fldCharType="end"/>
            </w:r>
          </w:p>
        </w:tc>
        <w:tc>
          <w:tcPr>
            <w:tcW w:w="4860" w:type="dxa"/>
            <w:shd w:val="clear" w:color="auto" w:fill="auto"/>
          </w:tcPr>
          <w:p w14:paraId="6C8F4C34" w14:textId="77777777" w:rsidR="00264423" w:rsidRPr="0017313A" w:rsidRDefault="003E77E6" w:rsidP="0023144A">
            <w:pPr>
              <w:numPr>
                <w:ilvl w:val="0"/>
                <w:numId w:val="10"/>
              </w:numPr>
              <w:pBdr>
                <w:top w:val="nil"/>
                <w:left w:val="nil"/>
                <w:bottom w:val="nil"/>
                <w:right w:val="nil"/>
                <w:between w:val="nil"/>
              </w:pBdr>
              <w:ind w:left="322"/>
              <w:rPr>
                <w:rFonts w:asciiTheme="minorHAnsi" w:hAnsiTheme="minorHAnsi"/>
              </w:rPr>
            </w:pPr>
            <w:hyperlink w:anchor="bookmark=id.3ep43zb">
              <w:r w:rsidR="00264423" w:rsidRPr="0017313A">
                <w:rPr>
                  <w:rFonts w:asciiTheme="minorHAnsi" w:eastAsia="Gill Sans" w:hAnsiTheme="minorHAnsi" w:cs="Gill Sans"/>
                  <w:color w:val="0064B9"/>
                  <w:u w:val="single"/>
                </w:rPr>
                <w:t>Average score across Site-Level Assessment of Governance and Equity (SAGE) outcome areas</w:t>
              </w:r>
            </w:hyperlink>
          </w:p>
        </w:tc>
      </w:tr>
    </w:tbl>
    <w:p w14:paraId="6B9092D9" w14:textId="245E7DF4" w:rsidR="00FC1C73" w:rsidRDefault="00FC1C73">
      <w:pPr>
        <w:rPr>
          <w:rFonts w:asciiTheme="minorHAnsi" w:hAnsiTheme="minorHAnsi"/>
        </w:rPr>
      </w:pPr>
    </w:p>
    <w:p w14:paraId="0812492D" w14:textId="77777777" w:rsidR="00A876D1" w:rsidRDefault="00A876D1" w:rsidP="00FC1C73">
      <w:pPr>
        <w:pStyle w:val="Heading1"/>
        <w:rPr>
          <w:rFonts w:asciiTheme="minorHAnsi" w:hAnsiTheme="minorHAnsi"/>
        </w:rPr>
        <w:sectPr w:rsidR="00A876D1" w:rsidSect="00345550">
          <w:pgSz w:w="12240" w:h="15840"/>
          <w:pgMar w:top="1440" w:right="1440" w:bottom="1440" w:left="1440" w:header="720" w:footer="720" w:gutter="0"/>
          <w:pgNumType w:start="1"/>
          <w:cols w:space="720"/>
        </w:sectPr>
      </w:pPr>
      <w:bookmarkStart w:id="12" w:name="_Toc101788503"/>
      <w:bookmarkStart w:id="13" w:name="_Toc104911804"/>
    </w:p>
    <w:p w14:paraId="636ABCD2" w14:textId="77777777" w:rsidR="00FC1C73" w:rsidRPr="0017313A" w:rsidRDefault="00FC1C73" w:rsidP="00FC1C73">
      <w:pPr>
        <w:pStyle w:val="Heading1"/>
        <w:rPr>
          <w:rFonts w:asciiTheme="minorHAnsi" w:hAnsiTheme="minorHAnsi"/>
        </w:rPr>
      </w:pPr>
      <w:r w:rsidRPr="0017313A">
        <w:rPr>
          <w:rFonts w:asciiTheme="minorHAnsi" w:hAnsiTheme="minorHAnsi"/>
        </w:rPr>
        <w:lastRenderedPageBreak/>
        <w:t>Governance</w:t>
      </w:r>
      <w:bookmarkEnd w:id="12"/>
      <w:bookmarkEnd w:id="13"/>
    </w:p>
    <w:p w14:paraId="10DABD9A" w14:textId="77777777" w:rsidR="00FC1C73" w:rsidRPr="0017313A" w:rsidRDefault="00FC1C73" w:rsidP="00FC1C73">
      <w:pPr>
        <w:pStyle w:val="Heading2"/>
        <w:rPr>
          <w:rFonts w:asciiTheme="minorHAnsi" w:hAnsiTheme="minorHAnsi"/>
        </w:rPr>
      </w:pPr>
      <w:bookmarkStart w:id="14" w:name="_Toc101788504"/>
      <w:bookmarkStart w:id="15" w:name="_Toc104911805"/>
      <w:r w:rsidRPr="0017313A">
        <w:rPr>
          <w:rFonts w:asciiTheme="minorHAnsi" w:hAnsiTheme="minorHAnsi"/>
        </w:rPr>
        <w:t>Pathways To Change</w:t>
      </w:r>
      <w:bookmarkEnd w:id="14"/>
      <w:bookmarkEnd w:id="15"/>
    </w:p>
    <w:p w14:paraId="32A87358" w14:textId="77777777" w:rsidR="00FC1C73" w:rsidRPr="0017313A" w:rsidRDefault="00FC1C73" w:rsidP="00FC1C73">
      <w:pPr>
        <w:rPr>
          <w:rFonts w:asciiTheme="minorHAnsi" w:hAnsiTheme="minorHAnsi"/>
        </w:rPr>
      </w:pPr>
      <w:r w:rsidRPr="0017313A">
        <w:rPr>
          <w:rFonts w:asciiTheme="minorHAnsi" w:hAnsiTheme="minorHAnsi"/>
        </w:rPr>
        <w:t xml:space="preserve">Many HEARTH activities include strategic approaches related to improved governance including community participation, rights/security, resolution mechanisms, and monitoring/enforcement. These improvements in governance and natural resource management are important intermediary links for other outcomes, particularly biophysical. To better measure the role of various stakeholder groups in governance, it is recommended that this set of outcomes be measured through a community-level assessment tool as opposed to the core HEARTH household survey questionnaire. </w:t>
      </w:r>
    </w:p>
    <w:p w14:paraId="035DCBDE" w14:textId="77777777" w:rsidR="00FC1C73" w:rsidRPr="0017313A" w:rsidRDefault="00FC1C73" w:rsidP="00FC1C73">
      <w:pPr>
        <w:pStyle w:val="Heading2"/>
        <w:rPr>
          <w:rFonts w:asciiTheme="minorHAnsi" w:hAnsiTheme="minorHAnsi"/>
        </w:rPr>
      </w:pPr>
      <w:bookmarkStart w:id="16" w:name="_Toc101788505"/>
      <w:bookmarkStart w:id="17" w:name="_Toc104911806"/>
      <w:r w:rsidRPr="0017313A">
        <w:rPr>
          <w:rFonts w:asciiTheme="minorHAnsi" w:hAnsiTheme="minorHAnsi"/>
        </w:rPr>
        <w:t>Recommended Outcomes and Indicators</w:t>
      </w:r>
      <w:bookmarkEnd w:id="16"/>
      <w:bookmarkEnd w:id="17"/>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400" w:firstRow="0" w:lastRow="0" w:firstColumn="0" w:lastColumn="0" w:noHBand="0" w:noVBand="1"/>
      </w:tblPr>
      <w:tblGrid>
        <w:gridCol w:w="1615"/>
        <w:gridCol w:w="5490"/>
        <w:gridCol w:w="2520"/>
      </w:tblGrid>
      <w:tr w:rsidR="00FC1C73" w:rsidRPr="0017313A" w14:paraId="52D78A57" w14:textId="77777777" w:rsidTr="00503C85">
        <w:trPr>
          <w:tblHeader/>
        </w:trPr>
        <w:tc>
          <w:tcPr>
            <w:tcW w:w="1615" w:type="dxa"/>
            <w:shd w:val="clear" w:color="auto" w:fill="002060"/>
          </w:tcPr>
          <w:p w14:paraId="4062AF68" w14:textId="77777777" w:rsidR="00FC1C73" w:rsidRPr="0017313A" w:rsidRDefault="00FC1C73" w:rsidP="00503C85">
            <w:pPr>
              <w:spacing w:after="0"/>
              <w:rPr>
                <w:rFonts w:asciiTheme="minorHAnsi" w:hAnsiTheme="minorHAnsi"/>
                <w:b/>
              </w:rPr>
            </w:pPr>
            <w:r w:rsidRPr="0017313A">
              <w:rPr>
                <w:rFonts w:asciiTheme="minorHAnsi" w:hAnsiTheme="minorHAnsi"/>
                <w:b/>
              </w:rPr>
              <w:t>Outcome</w:t>
            </w:r>
          </w:p>
        </w:tc>
        <w:tc>
          <w:tcPr>
            <w:tcW w:w="5490" w:type="dxa"/>
            <w:shd w:val="clear" w:color="auto" w:fill="002060"/>
          </w:tcPr>
          <w:p w14:paraId="24F0059F" w14:textId="77777777" w:rsidR="00FC1C73" w:rsidRPr="0017313A" w:rsidRDefault="00FC1C73" w:rsidP="00503C85">
            <w:pPr>
              <w:spacing w:after="0"/>
              <w:rPr>
                <w:rFonts w:asciiTheme="minorHAnsi" w:hAnsiTheme="minorHAnsi"/>
                <w:b/>
              </w:rPr>
            </w:pPr>
            <w:r w:rsidRPr="0017313A">
              <w:rPr>
                <w:rFonts w:asciiTheme="minorHAnsi" w:hAnsiTheme="minorHAnsi"/>
                <w:b/>
              </w:rPr>
              <w:t>Description</w:t>
            </w:r>
          </w:p>
        </w:tc>
        <w:tc>
          <w:tcPr>
            <w:tcW w:w="2520" w:type="dxa"/>
            <w:shd w:val="clear" w:color="auto" w:fill="002060"/>
          </w:tcPr>
          <w:p w14:paraId="27145A43" w14:textId="77777777" w:rsidR="00FC1C73" w:rsidRPr="0017313A" w:rsidRDefault="00FC1C73" w:rsidP="00503C85">
            <w:pPr>
              <w:spacing w:after="0"/>
              <w:rPr>
                <w:rFonts w:asciiTheme="minorHAnsi" w:hAnsiTheme="minorHAnsi"/>
                <w:b/>
              </w:rPr>
            </w:pPr>
            <w:r w:rsidRPr="0017313A">
              <w:rPr>
                <w:rFonts w:asciiTheme="minorHAnsi" w:hAnsiTheme="minorHAnsi"/>
                <w:b/>
              </w:rPr>
              <w:t>Recommended Indicator &amp; Duration</w:t>
            </w:r>
          </w:p>
        </w:tc>
      </w:tr>
      <w:tr w:rsidR="00FC1C73" w:rsidRPr="0017313A" w14:paraId="23D8EDE7" w14:textId="77777777" w:rsidTr="00503C85">
        <w:trPr>
          <w:trHeight w:val="962"/>
        </w:trPr>
        <w:tc>
          <w:tcPr>
            <w:tcW w:w="1615" w:type="dxa"/>
          </w:tcPr>
          <w:p w14:paraId="31E308D1" w14:textId="77777777" w:rsidR="00FC1C73" w:rsidRPr="0017313A" w:rsidRDefault="00FC1C73" w:rsidP="00503C85">
            <w:pPr>
              <w:rPr>
                <w:rFonts w:asciiTheme="minorHAnsi" w:hAnsiTheme="minorHAnsi"/>
              </w:rPr>
            </w:pPr>
            <w:bookmarkStart w:id="18" w:name="bookmark=id.2fk6b3p" w:colFirst="0" w:colLast="0"/>
            <w:bookmarkEnd w:id="18"/>
            <w:r w:rsidRPr="0017313A">
              <w:rPr>
                <w:rFonts w:asciiTheme="minorHAnsi" w:hAnsiTheme="minorHAnsi"/>
              </w:rPr>
              <w:t xml:space="preserve">Increased community participation in resource governance </w:t>
            </w:r>
          </w:p>
          <w:p w14:paraId="6DD61244" w14:textId="77777777" w:rsidR="00FC1C73" w:rsidRPr="0017313A" w:rsidRDefault="00FC1C73" w:rsidP="00503C85">
            <w:pPr>
              <w:rPr>
                <w:rFonts w:asciiTheme="minorHAnsi" w:hAnsiTheme="minorHAnsi"/>
              </w:rPr>
            </w:pPr>
            <w:r w:rsidRPr="0017313A">
              <w:rPr>
                <w:rFonts w:asciiTheme="minorHAnsi" w:hAnsiTheme="minorHAnsi"/>
              </w:rPr>
              <w:t>Increase in rights and/or security</w:t>
            </w:r>
          </w:p>
          <w:p w14:paraId="48879A76" w14:textId="77777777" w:rsidR="00FC1C73" w:rsidRPr="0017313A" w:rsidRDefault="00FC1C73" w:rsidP="00503C85">
            <w:pPr>
              <w:rPr>
                <w:rFonts w:asciiTheme="minorHAnsi" w:hAnsiTheme="minorHAnsi"/>
              </w:rPr>
            </w:pPr>
            <w:r w:rsidRPr="0017313A">
              <w:rPr>
                <w:rFonts w:asciiTheme="minorHAnsi" w:hAnsiTheme="minorHAnsi"/>
              </w:rPr>
              <w:t>Strengthened resolution mechanisms</w:t>
            </w:r>
          </w:p>
          <w:p w14:paraId="153D801B" w14:textId="77777777" w:rsidR="00FC1C73" w:rsidRPr="0017313A" w:rsidRDefault="00FC1C73" w:rsidP="00503C85">
            <w:pPr>
              <w:rPr>
                <w:rFonts w:asciiTheme="minorHAnsi" w:hAnsiTheme="minorHAnsi"/>
              </w:rPr>
            </w:pPr>
            <w:r w:rsidRPr="0017313A">
              <w:rPr>
                <w:rFonts w:asciiTheme="minorHAnsi" w:hAnsiTheme="minorHAnsi"/>
              </w:rPr>
              <w:t>Monitoring and enforcement</w:t>
            </w:r>
          </w:p>
          <w:p w14:paraId="73683A1D" w14:textId="77777777" w:rsidR="00FC1C73" w:rsidRPr="0017313A" w:rsidRDefault="00FC1C73" w:rsidP="00503C85">
            <w:pPr>
              <w:rPr>
                <w:rFonts w:asciiTheme="minorHAnsi" w:hAnsiTheme="minorHAnsi"/>
              </w:rPr>
            </w:pPr>
          </w:p>
        </w:tc>
        <w:tc>
          <w:tcPr>
            <w:tcW w:w="5490" w:type="dxa"/>
          </w:tcPr>
          <w:p w14:paraId="008A4E1E" w14:textId="77777777" w:rsidR="00FC1C73" w:rsidRPr="0017313A" w:rsidRDefault="00FC1C73" w:rsidP="00503C85">
            <w:pPr>
              <w:rPr>
                <w:rFonts w:asciiTheme="minorHAnsi" w:hAnsiTheme="minorHAnsi"/>
              </w:rPr>
            </w:pPr>
            <w:r w:rsidRPr="0017313A">
              <w:rPr>
                <w:rFonts w:asciiTheme="minorHAnsi" w:hAnsiTheme="minorHAnsi"/>
              </w:rPr>
              <w:t>SAGE is a participatory assessment methodology, developed to measure a variety of governance outcomes including the following:</w:t>
            </w:r>
          </w:p>
          <w:p w14:paraId="54E397CF" w14:textId="77777777" w:rsidR="00FC1C73" w:rsidRPr="0017313A" w:rsidRDefault="00FC1C73" w:rsidP="00FC1C73">
            <w:pPr>
              <w:numPr>
                <w:ilvl w:val="0"/>
                <w:numId w:val="12"/>
              </w:numPr>
              <w:pBdr>
                <w:top w:val="nil"/>
                <w:left w:val="nil"/>
                <w:bottom w:val="nil"/>
                <w:right w:val="nil"/>
                <w:between w:val="nil"/>
              </w:pBdr>
              <w:spacing w:after="0"/>
              <w:rPr>
                <w:rFonts w:asciiTheme="minorHAnsi" w:hAnsiTheme="minorHAnsi"/>
              </w:rPr>
            </w:pPr>
            <w:r w:rsidRPr="0017313A">
              <w:rPr>
                <w:rFonts w:asciiTheme="minorHAnsi" w:eastAsia="Gill Sans" w:hAnsiTheme="minorHAnsi" w:cs="Gill Sans"/>
                <w:color w:val="000000"/>
              </w:rPr>
              <w:t>Participation in decision-making</w:t>
            </w:r>
          </w:p>
          <w:p w14:paraId="3A43C1E8" w14:textId="77777777" w:rsidR="00FC1C73" w:rsidRPr="0017313A" w:rsidRDefault="00FC1C73" w:rsidP="00FC1C73">
            <w:pPr>
              <w:numPr>
                <w:ilvl w:val="0"/>
                <w:numId w:val="12"/>
              </w:numPr>
              <w:pBdr>
                <w:top w:val="nil"/>
                <w:left w:val="nil"/>
                <w:bottom w:val="nil"/>
                <w:right w:val="nil"/>
                <w:between w:val="nil"/>
              </w:pBdr>
              <w:spacing w:after="0"/>
              <w:rPr>
                <w:rFonts w:asciiTheme="minorHAnsi" w:hAnsiTheme="minorHAnsi"/>
              </w:rPr>
            </w:pPr>
            <w:r w:rsidRPr="0017313A">
              <w:rPr>
                <w:rFonts w:asciiTheme="minorHAnsi" w:eastAsia="Gill Sans" w:hAnsiTheme="minorHAnsi" w:cs="Gill Sans"/>
                <w:color w:val="000000"/>
              </w:rPr>
              <w:t xml:space="preserve">Recognition of rights </w:t>
            </w:r>
          </w:p>
          <w:p w14:paraId="5472C130" w14:textId="77777777" w:rsidR="00FC1C73" w:rsidRPr="0017313A" w:rsidRDefault="00FC1C73" w:rsidP="00FC1C73">
            <w:pPr>
              <w:numPr>
                <w:ilvl w:val="0"/>
                <w:numId w:val="12"/>
              </w:numPr>
              <w:pBdr>
                <w:top w:val="nil"/>
                <w:left w:val="nil"/>
                <w:bottom w:val="nil"/>
                <w:right w:val="nil"/>
                <w:between w:val="nil"/>
              </w:pBdr>
              <w:spacing w:after="0"/>
              <w:rPr>
                <w:rFonts w:asciiTheme="minorHAnsi" w:hAnsiTheme="minorHAnsi"/>
              </w:rPr>
            </w:pPr>
            <w:r w:rsidRPr="0017313A">
              <w:rPr>
                <w:rFonts w:asciiTheme="minorHAnsi" w:eastAsia="Gill Sans" w:hAnsiTheme="minorHAnsi" w:cs="Gill Sans"/>
                <w:color w:val="000000"/>
              </w:rPr>
              <w:t xml:space="preserve">Transparency and accountability </w:t>
            </w:r>
          </w:p>
          <w:p w14:paraId="516A3B75" w14:textId="77777777" w:rsidR="00FC1C73" w:rsidRPr="0017313A" w:rsidRDefault="00FC1C73" w:rsidP="00FC1C73">
            <w:pPr>
              <w:numPr>
                <w:ilvl w:val="0"/>
                <w:numId w:val="12"/>
              </w:numPr>
              <w:pBdr>
                <w:top w:val="nil"/>
                <w:left w:val="nil"/>
                <w:bottom w:val="nil"/>
                <w:right w:val="nil"/>
                <w:between w:val="nil"/>
              </w:pBdr>
              <w:spacing w:after="0"/>
              <w:rPr>
                <w:rFonts w:asciiTheme="minorHAnsi" w:hAnsiTheme="minorHAnsi"/>
              </w:rPr>
            </w:pPr>
            <w:r w:rsidRPr="0017313A">
              <w:rPr>
                <w:rFonts w:asciiTheme="minorHAnsi" w:eastAsia="Gill Sans" w:hAnsiTheme="minorHAnsi" w:cs="Gill Sans"/>
                <w:color w:val="000000"/>
              </w:rPr>
              <w:t xml:space="preserve">Access to justice including effective dispute resolution </w:t>
            </w:r>
          </w:p>
          <w:p w14:paraId="7377DC5B" w14:textId="77777777" w:rsidR="00FC1C73" w:rsidRPr="0017313A" w:rsidRDefault="00FC1C73" w:rsidP="00FC1C73">
            <w:pPr>
              <w:numPr>
                <w:ilvl w:val="0"/>
                <w:numId w:val="12"/>
              </w:numPr>
              <w:pBdr>
                <w:top w:val="nil"/>
                <w:left w:val="nil"/>
                <w:bottom w:val="nil"/>
                <w:right w:val="nil"/>
                <w:between w:val="nil"/>
              </w:pBdr>
              <w:spacing w:after="0"/>
              <w:rPr>
                <w:rFonts w:asciiTheme="minorHAnsi" w:hAnsiTheme="minorHAnsi"/>
              </w:rPr>
            </w:pPr>
            <w:r w:rsidRPr="0017313A">
              <w:rPr>
                <w:rFonts w:asciiTheme="minorHAnsi" w:eastAsia="Gill Sans" w:hAnsiTheme="minorHAnsi" w:cs="Gill Sans"/>
                <w:color w:val="000000"/>
              </w:rPr>
              <w:t>Fair and effective law enforcement</w:t>
            </w:r>
          </w:p>
          <w:p w14:paraId="584D7BA1" w14:textId="77777777" w:rsidR="00FC1C73" w:rsidRPr="0017313A" w:rsidRDefault="00FC1C73" w:rsidP="00FC1C73">
            <w:pPr>
              <w:numPr>
                <w:ilvl w:val="0"/>
                <w:numId w:val="12"/>
              </w:numPr>
              <w:pBdr>
                <w:top w:val="nil"/>
                <w:left w:val="nil"/>
                <w:bottom w:val="nil"/>
                <w:right w:val="nil"/>
                <w:between w:val="nil"/>
              </w:pBdr>
              <w:spacing w:after="0"/>
              <w:rPr>
                <w:rFonts w:asciiTheme="minorHAnsi" w:hAnsiTheme="minorHAnsi"/>
              </w:rPr>
            </w:pPr>
            <w:r w:rsidRPr="0017313A">
              <w:rPr>
                <w:rFonts w:asciiTheme="minorHAnsi" w:eastAsia="Gill Sans" w:hAnsiTheme="minorHAnsi" w:cs="Gill Sans"/>
                <w:color w:val="000000"/>
              </w:rPr>
              <w:t xml:space="preserve">Benefits sharing </w:t>
            </w:r>
          </w:p>
          <w:p w14:paraId="2F8CB0F9" w14:textId="77777777" w:rsidR="00FC1C73" w:rsidRPr="0017313A" w:rsidRDefault="00FC1C73" w:rsidP="00FC1C73">
            <w:pPr>
              <w:numPr>
                <w:ilvl w:val="0"/>
                <w:numId w:val="12"/>
              </w:numPr>
              <w:pBdr>
                <w:top w:val="nil"/>
                <w:left w:val="nil"/>
                <w:bottom w:val="nil"/>
                <w:right w:val="nil"/>
                <w:between w:val="nil"/>
              </w:pBdr>
              <w:spacing w:after="0"/>
              <w:rPr>
                <w:rFonts w:asciiTheme="minorHAnsi" w:hAnsiTheme="minorHAnsi"/>
              </w:rPr>
            </w:pPr>
            <w:r w:rsidRPr="0017313A">
              <w:rPr>
                <w:rFonts w:asciiTheme="minorHAnsi" w:eastAsia="Gill Sans" w:hAnsiTheme="minorHAnsi" w:cs="Gill Sans"/>
                <w:color w:val="000000"/>
              </w:rPr>
              <w:t>Achievement of conservation and other related objectives</w:t>
            </w:r>
          </w:p>
          <w:p w14:paraId="436DFFFF" w14:textId="77777777" w:rsidR="00FC1C73" w:rsidRPr="0017313A" w:rsidRDefault="00FC1C73" w:rsidP="00FC1C73">
            <w:pPr>
              <w:numPr>
                <w:ilvl w:val="0"/>
                <w:numId w:val="12"/>
              </w:numPr>
              <w:pBdr>
                <w:top w:val="nil"/>
                <w:left w:val="nil"/>
                <w:bottom w:val="nil"/>
                <w:right w:val="nil"/>
                <w:between w:val="nil"/>
              </w:pBdr>
              <w:rPr>
                <w:rFonts w:asciiTheme="minorHAnsi" w:hAnsiTheme="minorHAnsi"/>
              </w:rPr>
            </w:pPr>
            <w:r w:rsidRPr="0017313A">
              <w:rPr>
                <w:rFonts w:asciiTheme="minorHAnsi" w:eastAsia="Gill Sans" w:hAnsiTheme="minorHAnsi" w:cs="Gill Sans"/>
                <w:color w:val="000000"/>
              </w:rPr>
              <w:t>Effective intersectoral coordination and collaboration</w:t>
            </w:r>
          </w:p>
          <w:p w14:paraId="6E02B4AC" w14:textId="77777777" w:rsidR="00FC1C73" w:rsidRPr="0017313A" w:rsidRDefault="00FC1C73" w:rsidP="00503C85">
            <w:pPr>
              <w:rPr>
                <w:rFonts w:asciiTheme="minorHAnsi" w:hAnsiTheme="minorHAnsi"/>
              </w:rPr>
            </w:pPr>
            <w:r w:rsidRPr="0017313A">
              <w:rPr>
                <w:rFonts w:asciiTheme="minorHAnsi" w:hAnsiTheme="minorHAnsi"/>
              </w:rPr>
              <w:t>This participatory approach is in line with HEARTH’s commitment to engaging with beneficiaries throughout the Program Cycle.</w:t>
            </w:r>
          </w:p>
          <w:p w14:paraId="78DA1EEB" w14:textId="77777777" w:rsidR="00FC1C73" w:rsidRPr="0017313A" w:rsidRDefault="00FC1C73" w:rsidP="00503C85">
            <w:pPr>
              <w:rPr>
                <w:rFonts w:asciiTheme="minorHAnsi" w:hAnsiTheme="minorHAnsi"/>
              </w:rPr>
            </w:pPr>
            <w:r w:rsidRPr="0017313A">
              <w:rPr>
                <w:rFonts w:asciiTheme="minorHAnsi" w:hAnsiTheme="minorHAnsi"/>
              </w:rPr>
              <w:lastRenderedPageBreak/>
              <w:t>If of interest, HEARTH activities may add governance related questions to the household-level survey as well. This would be in addition to existing questions on participation in farmer, water, and forest user groups in the Agriculture and Land module.</w:t>
            </w:r>
          </w:p>
        </w:tc>
        <w:tc>
          <w:tcPr>
            <w:tcW w:w="2520" w:type="dxa"/>
            <w:shd w:val="clear" w:color="auto" w:fill="auto"/>
          </w:tcPr>
          <w:p w14:paraId="62E12810" w14:textId="77777777" w:rsidR="00FC1C73" w:rsidRPr="0017313A" w:rsidRDefault="00FC1C73" w:rsidP="00503C85">
            <w:pPr>
              <w:rPr>
                <w:rFonts w:asciiTheme="minorHAnsi" w:hAnsiTheme="minorHAnsi"/>
                <w:b/>
              </w:rPr>
            </w:pPr>
            <w:r w:rsidRPr="0017313A">
              <w:rPr>
                <w:rFonts w:asciiTheme="minorHAnsi" w:hAnsiTheme="minorHAnsi"/>
                <w:b/>
              </w:rPr>
              <w:lastRenderedPageBreak/>
              <w:t xml:space="preserve">Indicator: </w:t>
            </w:r>
            <w:r w:rsidRPr="0017313A">
              <w:rPr>
                <w:rFonts w:asciiTheme="minorHAnsi" w:hAnsiTheme="minorHAnsi"/>
              </w:rPr>
              <w:t>Average score across SAGE outcome areas</w:t>
            </w:r>
          </w:p>
          <w:p w14:paraId="72CAD00A" w14:textId="77777777" w:rsidR="00FC1C73" w:rsidRPr="0017313A" w:rsidRDefault="00FC1C73" w:rsidP="00503C85">
            <w:pPr>
              <w:rPr>
                <w:rFonts w:asciiTheme="minorHAnsi" w:hAnsiTheme="minorHAnsi"/>
              </w:rPr>
            </w:pPr>
            <w:r w:rsidRPr="0017313A">
              <w:rPr>
                <w:rFonts w:asciiTheme="minorHAnsi" w:hAnsiTheme="minorHAnsi"/>
                <w:b/>
              </w:rPr>
              <w:t xml:space="preserve">Source: </w:t>
            </w:r>
            <w:r w:rsidRPr="0017313A">
              <w:rPr>
                <w:rFonts w:asciiTheme="minorHAnsi" w:hAnsiTheme="minorHAnsi"/>
              </w:rPr>
              <w:t>International Institute of Environment and Development (IIED)</w:t>
            </w:r>
            <w:r w:rsidRPr="0017313A">
              <w:rPr>
                <w:rFonts w:asciiTheme="minorHAnsi" w:hAnsiTheme="minorHAnsi"/>
                <w:vertAlign w:val="superscript"/>
              </w:rPr>
              <w:footnoteReference w:id="2"/>
            </w:r>
          </w:p>
          <w:p w14:paraId="699C14DA" w14:textId="77777777" w:rsidR="00FC1C73" w:rsidRPr="0017313A" w:rsidRDefault="00FC1C73" w:rsidP="00503C85">
            <w:pPr>
              <w:rPr>
                <w:rFonts w:asciiTheme="minorHAnsi" w:hAnsiTheme="minorHAnsi"/>
              </w:rPr>
            </w:pPr>
            <w:r w:rsidRPr="0017313A">
              <w:rPr>
                <w:rFonts w:asciiTheme="minorHAnsi" w:hAnsiTheme="minorHAnsi"/>
                <w:b/>
              </w:rPr>
              <w:t>Duration:</w:t>
            </w:r>
            <w:r w:rsidRPr="0017313A">
              <w:rPr>
                <w:rFonts w:asciiTheme="minorHAnsi" w:hAnsiTheme="minorHAnsi"/>
              </w:rPr>
              <w:t xml:space="preserve"> 4-6 weeks in total including 1-2 days of facilitated data collection for each site-level assessment</w:t>
            </w:r>
          </w:p>
        </w:tc>
      </w:tr>
    </w:tbl>
    <w:p w14:paraId="542B7050" w14:textId="77777777" w:rsidR="00FC1C73" w:rsidRPr="0017313A" w:rsidRDefault="00FC1C73" w:rsidP="00FC1C73">
      <w:pPr>
        <w:pStyle w:val="Heading2"/>
        <w:rPr>
          <w:rFonts w:asciiTheme="minorHAnsi" w:hAnsiTheme="minorHAnsi"/>
        </w:rPr>
        <w:sectPr w:rsidR="00FC1C73" w:rsidRPr="0017313A" w:rsidSect="006A5355">
          <w:pgSz w:w="12240" w:h="15840"/>
          <w:pgMar w:top="1440" w:right="1440" w:bottom="1440" w:left="1440" w:header="720" w:footer="720" w:gutter="0"/>
          <w:cols w:space="720"/>
        </w:sectPr>
      </w:pPr>
    </w:p>
    <w:p w14:paraId="21808C26" w14:textId="77777777" w:rsidR="00FC1C73" w:rsidRPr="0017313A" w:rsidRDefault="00FC1C73" w:rsidP="00FC1C73">
      <w:pPr>
        <w:pStyle w:val="Heading2"/>
        <w:rPr>
          <w:rFonts w:asciiTheme="minorHAnsi" w:hAnsiTheme="minorHAnsi"/>
        </w:rPr>
      </w:pPr>
      <w:bookmarkStart w:id="19" w:name="_Toc101788506"/>
      <w:bookmarkStart w:id="20" w:name="_Toc104911807"/>
      <w:r w:rsidRPr="0017313A">
        <w:rPr>
          <w:rFonts w:asciiTheme="minorHAnsi" w:hAnsiTheme="minorHAnsi"/>
        </w:rPr>
        <w:lastRenderedPageBreak/>
        <w:t>Performance Indicator Reference Sheets</w:t>
      </w:r>
      <w:bookmarkEnd w:id="19"/>
      <w:bookmarkEnd w:id="20"/>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2785"/>
        <w:gridCol w:w="6210"/>
        <w:gridCol w:w="21"/>
      </w:tblGrid>
      <w:tr w:rsidR="00FC1C73" w:rsidRPr="0017313A" w14:paraId="57F0F797" w14:textId="77777777" w:rsidTr="00503C85">
        <w:trPr>
          <w:gridAfter w:val="1"/>
          <w:wAfter w:w="21" w:type="dxa"/>
          <w:trHeight w:val="561"/>
          <w:tblHeader/>
        </w:trPr>
        <w:tc>
          <w:tcPr>
            <w:tcW w:w="8995" w:type="dxa"/>
            <w:gridSpan w:val="2"/>
            <w:shd w:val="clear" w:color="auto" w:fill="002F6C"/>
          </w:tcPr>
          <w:p w14:paraId="5B8D5489" w14:textId="77777777" w:rsidR="00FC1C73" w:rsidRPr="0017313A" w:rsidRDefault="00FC1C73" w:rsidP="00503C85">
            <w:pPr>
              <w:spacing w:after="0"/>
              <w:rPr>
                <w:rFonts w:asciiTheme="minorHAnsi" w:hAnsiTheme="minorHAnsi"/>
                <w:b/>
              </w:rPr>
            </w:pPr>
            <w:bookmarkStart w:id="21" w:name="bookmark=id.3ep43zb" w:colFirst="0" w:colLast="0"/>
            <w:bookmarkEnd w:id="21"/>
            <w:r w:rsidRPr="0017313A">
              <w:rPr>
                <w:rFonts w:asciiTheme="minorHAnsi" w:hAnsiTheme="minorHAnsi"/>
                <w:b/>
              </w:rPr>
              <w:t xml:space="preserve">INDICATOR TITLE: Average score across SAGE outcome areas </w:t>
            </w:r>
          </w:p>
        </w:tc>
      </w:tr>
      <w:tr w:rsidR="00FC1C73" w:rsidRPr="0017313A" w14:paraId="59ACAF54" w14:textId="77777777" w:rsidTr="00503C85">
        <w:trPr>
          <w:trHeight w:val="1201"/>
        </w:trPr>
        <w:tc>
          <w:tcPr>
            <w:tcW w:w="9016" w:type="dxa"/>
            <w:gridSpan w:val="3"/>
          </w:tcPr>
          <w:p w14:paraId="5257444E" w14:textId="77777777" w:rsidR="00FC1C73" w:rsidRPr="0017313A" w:rsidRDefault="00FC1C73" w:rsidP="00503C85">
            <w:pPr>
              <w:rPr>
                <w:rFonts w:asciiTheme="minorHAnsi" w:hAnsiTheme="minorHAnsi"/>
              </w:rPr>
            </w:pPr>
            <w:r w:rsidRPr="0017313A">
              <w:rPr>
                <w:rFonts w:asciiTheme="minorHAnsi" w:hAnsiTheme="minorHAnsi"/>
              </w:rPr>
              <w:t xml:space="preserve">DEFINITION: </w:t>
            </w:r>
          </w:p>
          <w:p w14:paraId="78E4461D" w14:textId="77777777" w:rsidR="00FC1C73" w:rsidRPr="0017313A" w:rsidRDefault="00FC1C73" w:rsidP="00503C85">
            <w:pPr>
              <w:rPr>
                <w:rFonts w:asciiTheme="minorHAnsi" w:hAnsiTheme="minorHAnsi"/>
              </w:rPr>
            </w:pPr>
            <w:r w:rsidRPr="0017313A">
              <w:rPr>
                <w:rFonts w:asciiTheme="minorHAnsi" w:hAnsiTheme="minorHAnsi"/>
              </w:rPr>
              <w:t>SAGE</w:t>
            </w:r>
            <w:r w:rsidRPr="0017313A">
              <w:rPr>
                <w:rFonts w:asciiTheme="minorHAnsi" w:hAnsiTheme="minorHAnsi"/>
                <w:vertAlign w:val="superscript"/>
              </w:rPr>
              <w:footnoteReference w:id="3"/>
            </w:r>
            <w:r w:rsidRPr="0017313A">
              <w:rPr>
                <w:rFonts w:asciiTheme="minorHAnsi" w:hAnsiTheme="minorHAnsi"/>
              </w:rPr>
              <w:t xml:space="preserve"> is a stakeholder-led assessment conducted at the community level to enable site-level actors to improve the governance and equity of their conservation and related work to improve both social and conservation outcomes. SAGE also generates information for actors at higher levels for management oversight, improving governance of area-based conservation measures. This approach was developed by the IIED and has been pilot tested in nine countries. The SAGE methodology measures program outcomes both quantitatively and qualitatively, provides a shared learning experience across stakeholders, and generates learning and ideas for adaptive management.</w:t>
            </w:r>
          </w:p>
          <w:p w14:paraId="6862C84F" w14:textId="77777777" w:rsidR="00FC1C73" w:rsidRPr="0017313A" w:rsidRDefault="00FC1C73" w:rsidP="00503C85">
            <w:pPr>
              <w:rPr>
                <w:rFonts w:asciiTheme="minorHAnsi" w:hAnsiTheme="minorHAnsi"/>
              </w:rPr>
            </w:pPr>
            <w:r w:rsidRPr="0017313A">
              <w:rPr>
                <w:rFonts w:asciiTheme="minorHAnsi" w:hAnsiTheme="minorHAnsi"/>
              </w:rPr>
              <w:t>SAGE tracks outcomes based on 10 principles of governance and equity, which overlap with relevant outcomes areas for HEARTH. As a practical matter, SAGE recommends limiting the assessment to eight outcomes. For HEARTH, these should include:</w:t>
            </w:r>
          </w:p>
          <w:p w14:paraId="30AB6F9E" w14:textId="77777777" w:rsidR="00FC1C73" w:rsidRPr="0017313A" w:rsidRDefault="00FC1C73" w:rsidP="00FC1C73">
            <w:pPr>
              <w:numPr>
                <w:ilvl w:val="0"/>
                <w:numId w:val="13"/>
              </w:numPr>
              <w:pBdr>
                <w:top w:val="nil"/>
                <w:left w:val="nil"/>
                <w:bottom w:val="nil"/>
                <w:right w:val="nil"/>
                <w:between w:val="nil"/>
              </w:pBdr>
              <w:spacing w:after="0"/>
              <w:rPr>
                <w:rFonts w:asciiTheme="minorHAnsi" w:hAnsiTheme="minorHAnsi"/>
              </w:rPr>
            </w:pPr>
            <w:r w:rsidRPr="0017313A">
              <w:rPr>
                <w:rFonts w:asciiTheme="minorHAnsi" w:eastAsia="Gill Sans" w:hAnsiTheme="minorHAnsi" w:cs="Gill Sans"/>
                <w:color w:val="000000"/>
              </w:rPr>
              <w:t>Full and effective participation of all relevant actors in decision-making</w:t>
            </w:r>
          </w:p>
          <w:p w14:paraId="3BE5CFF9" w14:textId="77777777" w:rsidR="00FC1C73" w:rsidRPr="0017313A" w:rsidRDefault="00FC1C73" w:rsidP="00FC1C73">
            <w:pPr>
              <w:numPr>
                <w:ilvl w:val="0"/>
                <w:numId w:val="13"/>
              </w:numPr>
              <w:pBdr>
                <w:top w:val="nil"/>
                <w:left w:val="nil"/>
                <w:bottom w:val="nil"/>
                <w:right w:val="nil"/>
                <w:between w:val="nil"/>
              </w:pBdr>
              <w:spacing w:after="0"/>
              <w:rPr>
                <w:rFonts w:asciiTheme="minorHAnsi" w:hAnsiTheme="minorHAnsi"/>
              </w:rPr>
            </w:pPr>
            <w:r w:rsidRPr="0017313A">
              <w:rPr>
                <w:rFonts w:asciiTheme="minorHAnsi" w:eastAsia="Gill Sans" w:hAnsiTheme="minorHAnsi" w:cs="Gill Sans"/>
                <w:color w:val="000000"/>
              </w:rPr>
              <w:t>Recognition of rights of community members</w:t>
            </w:r>
          </w:p>
          <w:p w14:paraId="7A68598C" w14:textId="77777777" w:rsidR="00FC1C73" w:rsidRPr="0017313A" w:rsidRDefault="00FC1C73" w:rsidP="00FC1C73">
            <w:pPr>
              <w:numPr>
                <w:ilvl w:val="0"/>
                <w:numId w:val="13"/>
              </w:numPr>
              <w:pBdr>
                <w:top w:val="nil"/>
                <w:left w:val="nil"/>
                <w:bottom w:val="nil"/>
                <w:right w:val="nil"/>
                <w:between w:val="nil"/>
              </w:pBdr>
              <w:spacing w:after="0"/>
              <w:rPr>
                <w:rFonts w:asciiTheme="minorHAnsi" w:hAnsiTheme="minorHAnsi"/>
              </w:rPr>
            </w:pPr>
            <w:r w:rsidRPr="0017313A">
              <w:rPr>
                <w:rFonts w:asciiTheme="minorHAnsi" w:eastAsia="Gill Sans" w:hAnsiTheme="minorHAnsi" w:cs="Gill Sans"/>
                <w:color w:val="000000"/>
              </w:rPr>
              <w:t xml:space="preserve">Transparency, information sharing, and accountability </w:t>
            </w:r>
          </w:p>
          <w:p w14:paraId="104044C0" w14:textId="77777777" w:rsidR="00FC1C73" w:rsidRPr="0017313A" w:rsidRDefault="00FC1C73" w:rsidP="00FC1C73">
            <w:pPr>
              <w:numPr>
                <w:ilvl w:val="0"/>
                <w:numId w:val="13"/>
              </w:numPr>
              <w:pBdr>
                <w:top w:val="nil"/>
                <w:left w:val="nil"/>
                <w:bottom w:val="nil"/>
                <w:right w:val="nil"/>
                <w:between w:val="nil"/>
              </w:pBdr>
              <w:spacing w:after="0"/>
              <w:rPr>
                <w:rFonts w:asciiTheme="minorHAnsi" w:hAnsiTheme="minorHAnsi"/>
              </w:rPr>
            </w:pPr>
            <w:r w:rsidRPr="0017313A">
              <w:rPr>
                <w:rFonts w:asciiTheme="minorHAnsi" w:eastAsia="Gill Sans" w:hAnsiTheme="minorHAnsi" w:cs="Gill Sans"/>
                <w:color w:val="000000"/>
              </w:rPr>
              <w:t>Access to justice including effective dispute resolution processes</w:t>
            </w:r>
          </w:p>
          <w:p w14:paraId="0C9A3B04" w14:textId="77777777" w:rsidR="00FC1C73" w:rsidRPr="0017313A" w:rsidRDefault="00FC1C73" w:rsidP="00FC1C73">
            <w:pPr>
              <w:numPr>
                <w:ilvl w:val="0"/>
                <w:numId w:val="13"/>
              </w:numPr>
              <w:pBdr>
                <w:top w:val="nil"/>
                <w:left w:val="nil"/>
                <w:bottom w:val="nil"/>
                <w:right w:val="nil"/>
                <w:between w:val="nil"/>
              </w:pBdr>
              <w:spacing w:after="0"/>
              <w:rPr>
                <w:rFonts w:asciiTheme="minorHAnsi" w:hAnsiTheme="minorHAnsi"/>
              </w:rPr>
            </w:pPr>
            <w:r w:rsidRPr="0017313A">
              <w:rPr>
                <w:rFonts w:asciiTheme="minorHAnsi" w:eastAsia="Gill Sans" w:hAnsiTheme="minorHAnsi" w:cs="Gill Sans"/>
                <w:color w:val="000000"/>
              </w:rPr>
              <w:t>Fair and effective law enforcement</w:t>
            </w:r>
          </w:p>
          <w:p w14:paraId="13D6C3F3" w14:textId="77777777" w:rsidR="00FC1C73" w:rsidRPr="0017313A" w:rsidRDefault="00FC1C73" w:rsidP="00FC1C73">
            <w:pPr>
              <w:numPr>
                <w:ilvl w:val="0"/>
                <w:numId w:val="13"/>
              </w:numPr>
              <w:pBdr>
                <w:top w:val="nil"/>
                <w:left w:val="nil"/>
                <w:bottom w:val="nil"/>
                <w:right w:val="nil"/>
                <w:between w:val="nil"/>
              </w:pBdr>
              <w:spacing w:after="0"/>
              <w:rPr>
                <w:rFonts w:asciiTheme="minorHAnsi" w:hAnsiTheme="minorHAnsi"/>
              </w:rPr>
            </w:pPr>
            <w:r w:rsidRPr="0017313A">
              <w:rPr>
                <w:rFonts w:asciiTheme="minorHAnsi" w:eastAsia="Gill Sans" w:hAnsiTheme="minorHAnsi" w:cs="Gill Sans"/>
                <w:color w:val="000000"/>
              </w:rPr>
              <w:t>Benefits equitably shared among relevant actors</w:t>
            </w:r>
          </w:p>
          <w:p w14:paraId="3127FD4C" w14:textId="77777777" w:rsidR="00FC1C73" w:rsidRPr="0017313A" w:rsidRDefault="00FC1C73" w:rsidP="00FC1C73">
            <w:pPr>
              <w:numPr>
                <w:ilvl w:val="0"/>
                <w:numId w:val="13"/>
              </w:numPr>
              <w:pBdr>
                <w:top w:val="nil"/>
                <w:left w:val="nil"/>
                <w:bottom w:val="nil"/>
                <w:right w:val="nil"/>
                <w:between w:val="nil"/>
              </w:pBdr>
              <w:spacing w:after="0"/>
              <w:rPr>
                <w:rFonts w:asciiTheme="minorHAnsi" w:hAnsiTheme="minorHAnsi"/>
              </w:rPr>
            </w:pPr>
            <w:r w:rsidRPr="0017313A">
              <w:rPr>
                <w:rFonts w:asciiTheme="minorHAnsi" w:eastAsia="Gill Sans" w:hAnsiTheme="minorHAnsi" w:cs="Gill Sans"/>
                <w:color w:val="000000"/>
              </w:rPr>
              <w:t>Achievement of conservation and other related objectives</w:t>
            </w:r>
          </w:p>
          <w:p w14:paraId="662D130A" w14:textId="77777777" w:rsidR="00FC1C73" w:rsidRPr="0017313A" w:rsidRDefault="00FC1C73" w:rsidP="00FC1C73">
            <w:pPr>
              <w:numPr>
                <w:ilvl w:val="0"/>
                <w:numId w:val="13"/>
              </w:numPr>
              <w:pBdr>
                <w:top w:val="nil"/>
                <w:left w:val="nil"/>
                <w:bottom w:val="nil"/>
                <w:right w:val="nil"/>
                <w:between w:val="nil"/>
              </w:pBdr>
              <w:rPr>
                <w:rFonts w:asciiTheme="minorHAnsi" w:hAnsiTheme="minorHAnsi"/>
              </w:rPr>
            </w:pPr>
            <w:r w:rsidRPr="0017313A">
              <w:rPr>
                <w:rFonts w:asciiTheme="minorHAnsi" w:eastAsia="Gill Sans" w:hAnsiTheme="minorHAnsi" w:cs="Gill Sans"/>
                <w:color w:val="000000"/>
              </w:rPr>
              <w:t xml:space="preserve">Effective intersectoral coordination and collaboration between actors, sectors, and levels </w:t>
            </w:r>
          </w:p>
          <w:p w14:paraId="6A405CF1" w14:textId="77777777" w:rsidR="00FC1C73" w:rsidRPr="0017313A" w:rsidRDefault="00FC1C73" w:rsidP="00503C85">
            <w:pPr>
              <w:rPr>
                <w:rFonts w:asciiTheme="minorHAnsi" w:hAnsiTheme="minorHAnsi"/>
              </w:rPr>
            </w:pPr>
            <w:r w:rsidRPr="0017313A">
              <w:rPr>
                <w:rFonts w:asciiTheme="minorHAnsi" w:hAnsiTheme="minorHAnsi"/>
              </w:rPr>
              <w:t xml:space="preserve">The last of these—effective intersectoral collaboration—is especially important for HEARTH, given the co-creation of its activities by the private sector, communities, government, and civil society partners. The participatory assessment methodology of SAGE includes </w:t>
            </w:r>
            <w:proofErr w:type="gramStart"/>
            <w:r w:rsidRPr="0017313A">
              <w:rPr>
                <w:rFonts w:asciiTheme="minorHAnsi" w:hAnsiTheme="minorHAnsi"/>
              </w:rPr>
              <w:t>all of</w:t>
            </w:r>
            <w:proofErr w:type="gramEnd"/>
            <w:r w:rsidRPr="0017313A">
              <w:rPr>
                <w:rFonts w:asciiTheme="minorHAnsi" w:hAnsiTheme="minorHAnsi"/>
              </w:rPr>
              <w:t xml:space="preserve"> these stakeholders, including specific mechanisms to ensure the full participation of women and marginalized groups.</w:t>
            </w:r>
          </w:p>
          <w:p w14:paraId="423A827C" w14:textId="77777777" w:rsidR="00FC1C73" w:rsidRPr="0017313A" w:rsidRDefault="00FC1C73" w:rsidP="00503C85">
            <w:pPr>
              <w:rPr>
                <w:rFonts w:asciiTheme="minorHAnsi" w:hAnsiTheme="minorHAnsi"/>
              </w:rPr>
            </w:pPr>
            <w:r w:rsidRPr="0017313A">
              <w:rPr>
                <w:rFonts w:asciiTheme="minorHAnsi" w:hAnsiTheme="minorHAnsi"/>
              </w:rPr>
              <w:t>The SAGE manual (April 2021 PDF) provides additional details for reporting and survey questions.</w:t>
            </w:r>
          </w:p>
        </w:tc>
      </w:tr>
      <w:tr w:rsidR="00FC1C73" w:rsidRPr="0017313A" w14:paraId="6DDF7D2F" w14:textId="77777777" w:rsidTr="00503C85">
        <w:trPr>
          <w:trHeight w:val="669"/>
        </w:trPr>
        <w:tc>
          <w:tcPr>
            <w:tcW w:w="9016" w:type="dxa"/>
            <w:gridSpan w:val="3"/>
          </w:tcPr>
          <w:p w14:paraId="50CF1304" w14:textId="77777777" w:rsidR="00FC1C73" w:rsidRPr="0017313A" w:rsidRDefault="00FC1C73" w:rsidP="00503C85">
            <w:pPr>
              <w:rPr>
                <w:rFonts w:asciiTheme="minorHAnsi" w:hAnsiTheme="minorHAnsi"/>
              </w:rPr>
            </w:pPr>
            <w:r w:rsidRPr="0017313A">
              <w:rPr>
                <w:rFonts w:asciiTheme="minorHAnsi" w:hAnsiTheme="minorHAnsi"/>
              </w:rPr>
              <w:t xml:space="preserve">DATA COLLECTION: </w:t>
            </w:r>
          </w:p>
          <w:p w14:paraId="331950B4" w14:textId="77777777" w:rsidR="00FC1C73" w:rsidRPr="0017313A" w:rsidRDefault="00FC1C73" w:rsidP="00503C85">
            <w:pPr>
              <w:rPr>
                <w:rFonts w:asciiTheme="minorHAnsi" w:hAnsiTheme="minorHAnsi"/>
              </w:rPr>
            </w:pPr>
            <w:r w:rsidRPr="0017313A">
              <w:rPr>
                <w:rFonts w:asciiTheme="minorHAnsi" w:hAnsiTheme="minorHAnsi"/>
              </w:rPr>
              <w:t xml:space="preserve">Individuals from each stakeholder group are convened and led in a facilitated assessment over the course of 1-2 days. Each stakeholder group scores each outcome area on a scale of 0-3 based on </w:t>
            </w:r>
            <w:r w:rsidRPr="0017313A">
              <w:rPr>
                <w:rFonts w:asciiTheme="minorHAnsi" w:hAnsiTheme="minorHAnsi"/>
              </w:rPr>
              <w:lastRenderedPageBreak/>
              <w:t xml:space="preserve">questions that SAGE has prepared (questions can be tailored as appropriate for each HEARTH site). Group members are asked to provide evidence for their opinions and to offer any specific ideas for action. These responses are recorded. </w:t>
            </w:r>
          </w:p>
          <w:p w14:paraId="6D39D178" w14:textId="77777777" w:rsidR="00FC1C73" w:rsidRPr="0017313A" w:rsidRDefault="00FC1C73" w:rsidP="00503C85">
            <w:pPr>
              <w:rPr>
                <w:rFonts w:asciiTheme="minorHAnsi" w:hAnsiTheme="minorHAnsi"/>
              </w:rPr>
            </w:pPr>
            <w:r w:rsidRPr="0017313A">
              <w:rPr>
                <w:rFonts w:asciiTheme="minorHAnsi" w:hAnsiTheme="minorHAnsi"/>
              </w:rPr>
              <w:t xml:space="preserve">This is followed the next day by a synthesis workshop that brings together the stakeholder groups and shares their respective governance and equity assessment results. This discussion explains any differences of opinion, narrowing those differences where possible based on additional information exchanged by the participants. A summary table and graphic show the average score for each outcome, taking account of any changes in responses that may have been made </w:t>
            </w:r>
            <w:proofErr w:type="gramStart"/>
            <w:r w:rsidRPr="0017313A">
              <w:rPr>
                <w:rFonts w:asciiTheme="minorHAnsi" w:hAnsiTheme="minorHAnsi"/>
              </w:rPr>
              <w:t>as a result of</w:t>
            </w:r>
            <w:proofErr w:type="gramEnd"/>
            <w:r w:rsidRPr="0017313A">
              <w:rPr>
                <w:rFonts w:asciiTheme="minorHAnsi" w:hAnsiTheme="minorHAnsi"/>
              </w:rPr>
              <w:t xml:space="preserve"> the discussion. In addition to the scores, the summary table for each outcome includes identification of key issues, questions reflecting large differences in groups’ scores, and ideas for action to improve divergent responses.</w:t>
            </w:r>
          </w:p>
          <w:p w14:paraId="5E25DEC1" w14:textId="77777777" w:rsidR="00FC1C73" w:rsidRPr="0017313A" w:rsidRDefault="00FC1C73" w:rsidP="00503C85">
            <w:pPr>
              <w:rPr>
                <w:rFonts w:asciiTheme="minorHAnsi" w:hAnsiTheme="minorHAnsi"/>
                <w:color w:val="6C6463"/>
              </w:rPr>
            </w:pPr>
            <w:r w:rsidRPr="0017313A">
              <w:rPr>
                <w:rFonts w:asciiTheme="minorHAnsi" w:hAnsiTheme="minorHAnsi"/>
              </w:rPr>
              <w:t xml:space="preserve">SAGE assessments are intended to be done after two years of operation of program management and governance systems, with options for using qualitative </w:t>
            </w:r>
            <w:hyperlink r:id="rId20">
              <w:r w:rsidRPr="0017313A">
                <w:rPr>
                  <w:rFonts w:asciiTheme="minorHAnsi" w:hAnsiTheme="minorHAnsi"/>
                  <w:color w:val="0563C1"/>
                  <w:u w:val="single"/>
                </w:rPr>
                <w:t>outcome harvesting</w:t>
              </w:r>
            </w:hyperlink>
            <w:r w:rsidRPr="0017313A">
              <w:rPr>
                <w:rFonts w:asciiTheme="minorHAnsi" w:hAnsiTheme="minorHAnsi"/>
              </w:rPr>
              <w:t xml:space="preserve"> measurement techniques in between full SAGE assessments. However, it is also recommended to conduct assessments at project start-up to both provide a comparison for change over time, as well as potentially inform programming needs.</w:t>
            </w:r>
            <w:r w:rsidRPr="0017313A">
              <w:rPr>
                <w:rFonts w:asciiTheme="minorHAnsi" w:hAnsiTheme="minorHAnsi"/>
                <w:color w:val="6C6463"/>
              </w:rPr>
              <w:t xml:space="preserve"> </w:t>
            </w:r>
          </w:p>
        </w:tc>
      </w:tr>
      <w:tr w:rsidR="00FC1C73" w:rsidRPr="0017313A" w14:paraId="052C1BEC" w14:textId="77777777" w:rsidTr="00503C85">
        <w:trPr>
          <w:trHeight w:val="669"/>
        </w:trPr>
        <w:tc>
          <w:tcPr>
            <w:tcW w:w="9016" w:type="dxa"/>
            <w:gridSpan w:val="3"/>
            <w:shd w:val="clear" w:color="auto" w:fill="auto"/>
          </w:tcPr>
          <w:p w14:paraId="31D26392" w14:textId="77777777" w:rsidR="00FC1C73" w:rsidRPr="0017313A" w:rsidRDefault="00FC1C73" w:rsidP="00503C85">
            <w:pPr>
              <w:rPr>
                <w:rFonts w:asciiTheme="minorHAnsi" w:hAnsiTheme="minorHAnsi"/>
              </w:rPr>
            </w:pPr>
            <w:r w:rsidRPr="0017313A">
              <w:rPr>
                <w:rFonts w:asciiTheme="minorHAnsi" w:hAnsiTheme="minorHAnsi"/>
              </w:rPr>
              <w:lastRenderedPageBreak/>
              <w:t xml:space="preserve">ADAPTATION:  </w:t>
            </w:r>
          </w:p>
          <w:p w14:paraId="6F42964D" w14:textId="77777777" w:rsidR="00FC1C73" w:rsidRPr="0017313A" w:rsidRDefault="00FC1C73" w:rsidP="00503C85">
            <w:pPr>
              <w:rPr>
                <w:rFonts w:asciiTheme="minorHAnsi" w:hAnsiTheme="minorHAnsi"/>
              </w:rPr>
            </w:pPr>
            <w:r w:rsidRPr="0017313A">
              <w:rPr>
                <w:rFonts w:asciiTheme="minorHAnsi" w:hAnsiTheme="minorHAnsi"/>
              </w:rPr>
              <w:t xml:space="preserve">While eight outcomes are recommended, it is possible that HEARTH activities may add or remove outcomes as relevant for their theories of change. For example, law enforcement might be more relevant for activities that have strategic approaches focusing on improvements to monitoring and enforcement systems, but not others. </w:t>
            </w:r>
          </w:p>
          <w:p w14:paraId="688D0600" w14:textId="77777777" w:rsidR="00FC1C73" w:rsidRPr="0017313A" w:rsidRDefault="00FC1C73" w:rsidP="00503C85">
            <w:pPr>
              <w:rPr>
                <w:rFonts w:asciiTheme="minorHAnsi" w:hAnsiTheme="minorHAnsi"/>
                <w:i/>
                <w:color w:val="000000"/>
              </w:rPr>
            </w:pPr>
            <w:r w:rsidRPr="0017313A">
              <w:rPr>
                <w:rFonts w:asciiTheme="minorHAnsi" w:hAnsiTheme="minorHAnsi"/>
              </w:rPr>
              <w:t>In addition, the questions that are asked to each stakeholder group to score each outcome area should also be tailored as appropriate for each HEARTH activity. For example, one of the questions for the respect for rights outcome is “What proportion of adults in the community are aware of their right to [insert a relevant right]?” which would need to be adapted to the local context.</w:t>
            </w:r>
            <w:r w:rsidRPr="0017313A">
              <w:rPr>
                <w:rFonts w:asciiTheme="minorHAnsi" w:hAnsiTheme="minorHAnsi"/>
                <w:highlight w:val="yellow"/>
              </w:rPr>
              <w:t xml:space="preserve"> </w:t>
            </w:r>
          </w:p>
        </w:tc>
      </w:tr>
      <w:tr w:rsidR="00FC1C73" w:rsidRPr="0017313A" w14:paraId="0F2FAD1F" w14:textId="77777777" w:rsidTr="00503C85">
        <w:trPr>
          <w:trHeight w:val="669"/>
        </w:trPr>
        <w:tc>
          <w:tcPr>
            <w:tcW w:w="9016" w:type="dxa"/>
            <w:gridSpan w:val="3"/>
            <w:shd w:val="clear" w:color="auto" w:fill="auto"/>
          </w:tcPr>
          <w:p w14:paraId="0837F21F" w14:textId="77777777" w:rsidR="00FC1C73" w:rsidRPr="0017313A" w:rsidRDefault="00FC1C73" w:rsidP="00503C85">
            <w:pPr>
              <w:rPr>
                <w:rFonts w:asciiTheme="minorHAnsi" w:hAnsiTheme="minorHAnsi"/>
              </w:rPr>
            </w:pPr>
            <w:r w:rsidRPr="0017313A">
              <w:rPr>
                <w:rFonts w:asciiTheme="minorHAnsi" w:hAnsiTheme="minorHAnsi"/>
              </w:rPr>
              <w:t xml:space="preserve">COST CONSIDERATIONS: </w:t>
            </w:r>
          </w:p>
          <w:p w14:paraId="65504A61" w14:textId="0A906966" w:rsidR="00FC1C73" w:rsidRPr="0017313A" w:rsidRDefault="00FC1C73" w:rsidP="00503C85">
            <w:pPr>
              <w:rPr>
                <w:rFonts w:asciiTheme="minorHAnsi" w:hAnsiTheme="minorHAnsi"/>
              </w:rPr>
            </w:pPr>
            <w:r w:rsidRPr="0017313A">
              <w:rPr>
                <w:rFonts w:asciiTheme="minorHAnsi" w:hAnsiTheme="minorHAnsi"/>
              </w:rPr>
              <w:t xml:space="preserve">For each site-level assessment, one experienced facilitator and two to four less experienced facilitators are required, along with a few local note takers. Including the preparatory stakeholder analysis and site profile, the assessment takes 4-6 weeks. In areas with multiple sites, the assessment may be conducted in a central location or may be based on representative sampling. IIED estimates that the range of costs for an assessment is </w:t>
            </w:r>
            <w:r w:rsidR="00732A29" w:rsidRPr="0017313A">
              <w:rPr>
                <w:rFonts w:asciiTheme="minorHAnsi" w:hAnsiTheme="minorHAnsi"/>
              </w:rPr>
              <w:t>United Stated Dollar (</w:t>
            </w:r>
            <w:r w:rsidRPr="0017313A">
              <w:rPr>
                <w:rFonts w:asciiTheme="minorHAnsi" w:hAnsiTheme="minorHAnsi"/>
              </w:rPr>
              <w:t>USD</w:t>
            </w:r>
            <w:r w:rsidR="00732A29" w:rsidRPr="0017313A">
              <w:rPr>
                <w:rFonts w:asciiTheme="minorHAnsi" w:hAnsiTheme="minorHAnsi"/>
              </w:rPr>
              <w:t>)</w:t>
            </w:r>
            <w:r w:rsidRPr="0017313A">
              <w:rPr>
                <w:rFonts w:asciiTheme="minorHAnsi" w:hAnsiTheme="minorHAnsi"/>
              </w:rPr>
              <w:t xml:space="preserve"> 2,000-10,000, with recent experiences in the range of approximately USD 6,000-7,000. </w:t>
            </w:r>
          </w:p>
          <w:p w14:paraId="54425124" w14:textId="77777777" w:rsidR="00FC1C73" w:rsidRPr="0017313A" w:rsidRDefault="00FC1C73" w:rsidP="00503C85">
            <w:pPr>
              <w:rPr>
                <w:rFonts w:asciiTheme="minorHAnsi" w:hAnsiTheme="minorHAnsi"/>
              </w:rPr>
            </w:pPr>
            <w:r w:rsidRPr="0017313A">
              <w:rPr>
                <w:rFonts w:asciiTheme="minorHAnsi" w:hAnsiTheme="minorHAnsi"/>
              </w:rPr>
              <w:lastRenderedPageBreak/>
              <w:t>While there are several IIED-certified SAGE facilitators and more are currently being trained across multiple countries, there may be a need for training additional facilitators. This would only take a day or two and add some modest cost, but the key consideration is to ensure quality control for the facilitation process.</w:t>
            </w:r>
          </w:p>
        </w:tc>
      </w:tr>
      <w:tr w:rsidR="00FC1C73" w:rsidRPr="0017313A" w14:paraId="79DCE010" w14:textId="77777777" w:rsidTr="00503C85">
        <w:trPr>
          <w:trHeight w:val="669"/>
        </w:trPr>
        <w:tc>
          <w:tcPr>
            <w:tcW w:w="2785" w:type="dxa"/>
          </w:tcPr>
          <w:p w14:paraId="331125FA" w14:textId="77777777" w:rsidR="00FC1C73" w:rsidRPr="0017313A" w:rsidRDefault="00FC1C73" w:rsidP="00503C85">
            <w:pPr>
              <w:rPr>
                <w:rFonts w:asciiTheme="minorHAnsi" w:hAnsiTheme="minorHAnsi"/>
              </w:rPr>
            </w:pPr>
            <w:r w:rsidRPr="0017313A">
              <w:rPr>
                <w:rFonts w:asciiTheme="minorHAnsi" w:hAnsiTheme="minorHAnsi"/>
              </w:rPr>
              <w:lastRenderedPageBreak/>
              <w:t>UNIT:</w:t>
            </w:r>
          </w:p>
          <w:p w14:paraId="33EAA5A3" w14:textId="77777777" w:rsidR="00FC1C73" w:rsidRPr="0017313A" w:rsidRDefault="00FC1C73" w:rsidP="00503C85">
            <w:pPr>
              <w:rPr>
                <w:rFonts w:asciiTheme="minorHAnsi" w:hAnsiTheme="minorHAnsi"/>
              </w:rPr>
            </w:pPr>
            <w:r w:rsidRPr="0017313A">
              <w:rPr>
                <w:rFonts w:asciiTheme="minorHAnsi" w:hAnsiTheme="minorHAnsi"/>
              </w:rPr>
              <w:t>Score ranging from 0 to 3</w:t>
            </w:r>
          </w:p>
        </w:tc>
        <w:tc>
          <w:tcPr>
            <w:tcW w:w="6231" w:type="dxa"/>
            <w:gridSpan w:val="2"/>
          </w:tcPr>
          <w:p w14:paraId="4BE1326F" w14:textId="77777777" w:rsidR="00FC1C73" w:rsidRPr="0017313A" w:rsidRDefault="00FC1C73" w:rsidP="00503C85">
            <w:pPr>
              <w:rPr>
                <w:rFonts w:asciiTheme="minorHAnsi" w:hAnsiTheme="minorHAnsi"/>
              </w:rPr>
            </w:pPr>
            <w:r w:rsidRPr="0017313A">
              <w:rPr>
                <w:rFonts w:asciiTheme="minorHAnsi" w:hAnsiTheme="minorHAnsi"/>
              </w:rPr>
              <w:t>DISAGGREGATE BY:</w:t>
            </w:r>
          </w:p>
          <w:p w14:paraId="1958AC76" w14:textId="77777777" w:rsidR="00FC1C73" w:rsidRPr="0017313A" w:rsidRDefault="00FC1C73" w:rsidP="00503C85">
            <w:pPr>
              <w:rPr>
                <w:rFonts w:asciiTheme="minorHAnsi" w:hAnsiTheme="minorHAnsi"/>
              </w:rPr>
            </w:pPr>
            <w:r w:rsidRPr="0017313A">
              <w:rPr>
                <w:rFonts w:asciiTheme="minorHAnsi" w:hAnsiTheme="minorHAnsi"/>
              </w:rPr>
              <w:t xml:space="preserve">Each outcome area included in the assessment </w:t>
            </w:r>
          </w:p>
        </w:tc>
      </w:tr>
      <w:tr w:rsidR="00FC1C73" w:rsidRPr="0017313A" w14:paraId="5E6ABF99" w14:textId="77777777" w:rsidTr="00503C85">
        <w:trPr>
          <w:trHeight w:val="786"/>
        </w:trPr>
        <w:tc>
          <w:tcPr>
            <w:tcW w:w="2785" w:type="dxa"/>
            <w:tcBorders>
              <w:bottom w:val="single" w:sz="4" w:space="0" w:color="000000"/>
            </w:tcBorders>
          </w:tcPr>
          <w:p w14:paraId="298CC4AB" w14:textId="77777777" w:rsidR="00FC1C73" w:rsidRPr="0017313A" w:rsidRDefault="00FC1C73" w:rsidP="00503C85">
            <w:pPr>
              <w:rPr>
                <w:rFonts w:asciiTheme="minorHAnsi" w:hAnsiTheme="minorHAnsi"/>
              </w:rPr>
            </w:pPr>
            <w:r w:rsidRPr="0017313A">
              <w:rPr>
                <w:rFonts w:asciiTheme="minorHAnsi" w:hAnsiTheme="minorHAnsi"/>
              </w:rPr>
              <w:t>TYPE:</w:t>
            </w:r>
          </w:p>
          <w:p w14:paraId="18619B88" w14:textId="77777777" w:rsidR="00FC1C73" w:rsidRPr="0017313A" w:rsidRDefault="00FC1C73" w:rsidP="00503C85">
            <w:pPr>
              <w:rPr>
                <w:rFonts w:asciiTheme="minorHAnsi" w:hAnsiTheme="minorHAnsi"/>
              </w:rPr>
            </w:pPr>
            <w:r w:rsidRPr="0017313A">
              <w:rPr>
                <w:rFonts w:asciiTheme="minorHAnsi" w:hAnsiTheme="minorHAnsi"/>
              </w:rPr>
              <w:t>Outcome</w:t>
            </w:r>
          </w:p>
        </w:tc>
        <w:tc>
          <w:tcPr>
            <w:tcW w:w="6231" w:type="dxa"/>
            <w:gridSpan w:val="2"/>
            <w:tcBorders>
              <w:bottom w:val="single" w:sz="4" w:space="0" w:color="000000"/>
            </w:tcBorders>
          </w:tcPr>
          <w:p w14:paraId="739867DA" w14:textId="77777777" w:rsidR="00FC1C73" w:rsidRPr="0017313A" w:rsidRDefault="00FC1C73" w:rsidP="00503C85">
            <w:pPr>
              <w:rPr>
                <w:rFonts w:asciiTheme="minorHAnsi" w:hAnsiTheme="minorHAnsi"/>
              </w:rPr>
            </w:pPr>
            <w:r w:rsidRPr="0017313A">
              <w:rPr>
                <w:rFonts w:asciiTheme="minorHAnsi" w:hAnsiTheme="minorHAnsi"/>
              </w:rPr>
              <w:t xml:space="preserve">DIRECTION OF CHANGE: </w:t>
            </w:r>
          </w:p>
          <w:p w14:paraId="38D4FFEB" w14:textId="77777777" w:rsidR="00FC1C73" w:rsidRPr="0017313A" w:rsidRDefault="00FC1C73" w:rsidP="00503C85">
            <w:pPr>
              <w:rPr>
                <w:rFonts w:asciiTheme="minorHAnsi" w:hAnsiTheme="minorHAnsi"/>
              </w:rPr>
            </w:pPr>
            <w:r w:rsidRPr="0017313A">
              <w:rPr>
                <w:rFonts w:asciiTheme="minorHAnsi" w:hAnsiTheme="minorHAnsi"/>
              </w:rPr>
              <w:t xml:space="preserve">Higher is better </w:t>
            </w:r>
          </w:p>
        </w:tc>
      </w:tr>
      <w:tr w:rsidR="00FC1C73" w:rsidRPr="0017313A" w14:paraId="3AC0C8A7" w14:textId="77777777" w:rsidTr="00503C85">
        <w:trPr>
          <w:trHeight w:val="288"/>
        </w:trPr>
        <w:tc>
          <w:tcPr>
            <w:tcW w:w="9016" w:type="dxa"/>
            <w:gridSpan w:val="3"/>
            <w:shd w:val="clear" w:color="auto" w:fill="E7E6E6"/>
          </w:tcPr>
          <w:p w14:paraId="404539A2" w14:textId="77777777" w:rsidR="00FC1C73" w:rsidRPr="0017313A" w:rsidRDefault="00FC1C73" w:rsidP="00503C85">
            <w:pPr>
              <w:spacing w:before="120" w:after="120"/>
              <w:rPr>
                <w:rFonts w:asciiTheme="minorHAnsi" w:hAnsiTheme="minorHAnsi"/>
              </w:rPr>
            </w:pPr>
            <w:r w:rsidRPr="0017313A">
              <w:rPr>
                <w:rFonts w:asciiTheme="minorHAnsi" w:hAnsiTheme="minorHAnsi"/>
              </w:rPr>
              <w:t>REPORTING NOTES</w:t>
            </w:r>
          </w:p>
        </w:tc>
      </w:tr>
      <w:tr w:rsidR="00FC1C73" w:rsidRPr="0017313A" w14:paraId="453308DF" w14:textId="77777777" w:rsidTr="00503C85">
        <w:trPr>
          <w:trHeight w:val="498"/>
        </w:trPr>
        <w:tc>
          <w:tcPr>
            <w:tcW w:w="9016" w:type="dxa"/>
            <w:gridSpan w:val="3"/>
          </w:tcPr>
          <w:p w14:paraId="10DE8F7B" w14:textId="77777777" w:rsidR="00FC1C73" w:rsidRPr="0017313A" w:rsidRDefault="00FC1C73" w:rsidP="00503C85">
            <w:pPr>
              <w:rPr>
                <w:rFonts w:asciiTheme="minorHAnsi" w:hAnsiTheme="minorHAnsi"/>
              </w:rPr>
            </w:pPr>
            <w:r w:rsidRPr="0017313A">
              <w:rPr>
                <w:rFonts w:asciiTheme="minorHAnsi" w:hAnsiTheme="minorHAnsi"/>
              </w:rPr>
              <w:t>See additional details in the SAGE manual (April 2021 PDF) regarding reporting</w:t>
            </w:r>
          </w:p>
        </w:tc>
      </w:tr>
    </w:tbl>
    <w:p w14:paraId="5812C70A" w14:textId="77777777" w:rsidR="00FC1C73" w:rsidRDefault="00FC1C73">
      <w:pPr>
        <w:rPr>
          <w:rFonts w:asciiTheme="minorHAnsi" w:hAnsiTheme="minorHAnsi"/>
        </w:rPr>
      </w:pPr>
    </w:p>
    <w:p w14:paraId="50618270" w14:textId="77777777" w:rsidR="0017313A" w:rsidRPr="0017313A" w:rsidRDefault="0017313A" w:rsidP="0017313A">
      <w:pPr>
        <w:rPr>
          <w:rFonts w:asciiTheme="minorHAnsi" w:hAnsiTheme="minorHAnsi"/>
        </w:rPr>
      </w:pPr>
    </w:p>
    <w:p w14:paraId="7DF35357" w14:textId="77777777" w:rsidR="0017313A" w:rsidRPr="0017313A" w:rsidRDefault="0017313A" w:rsidP="0017313A">
      <w:pPr>
        <w:rPr>
          <w:rFonts w:asciiTheme="minorHAnsi" w:hAnsiTheme="minorHAnsi"/>
        </w:rPr>
      </w:pPr>
    </w:p>
    <w:p w14:paraId="46E57FF6" w14:textId="77777777" w:rsidR="0017313A" w:rsidRPr="0017313A" w:rsidRDefault="0017313A" w:rsidP="0017313A">
      <w:pPr>
        <w:rPr>
          <w:rFonts w:asciiTheme="minorHAnsi" w:hAnsiTheme="minorHAnsi"/>
        </w:rPr>
      </w:pPr>
    </w:p>
    <w:p w14:paraId="39641C5B" w14:textId="77777777" w:rsidR="0017313A" w:rsidRPr="0017313A" w:rsidRDefault="0017313A" w:rsidP="0017313A">
      <w:pPr>
        <w:rPr>
          <w:rFonts w:asciiTheme="minorHAnsi" w:hAnsiTheme="minorHAnsi"/>
        </w:rPr>
      </w:pPr>
    </w:p>
    <w:p w14:paraId="3C0F6D29" w14:textId="77777777" w:rsidR="0017313A" w:rsidRPr="0017313A" w:rsidRDefault="0017313A" w:rsidP="0017313A">
      <w:pPr>
        <w:rPr>
          <w:rFonts w:asciiTheme="minorHAnsi" w:hAnsiTheme="minorHAnsi"/>
        </w:rPr>
      </w:pPr>
    </w:p>
    <w:p w14:paraId="22728C4C" w14:textId="77777777" w:rsidR="0017313A" w:rsidRPr="0017313A" w:rsidRDefault="0017313A" w:rsidP="0017313A">
      <w:pPr>
        <w:rPr>
          <w:rFonts w:asciiTheme="minorHAnsi" w:hAnsiTheme="minorHAnsi"/>
        </w:rPr>
      </w:pPr>
    </w:p>
    <w:p w14:paraId="1A2CC625" w14:textId="77777777" w:rsidR="0017313A" w:rsidRPr="0017313A" w:rsidRDefault="0017313A" w:rsidP="0017313A">
      <w:pPr>
        <w:rPr>
          <w:rFonts w:asciiTheme="minorHAnsi" w:hAnsiTheme="minorHAnsi"/>
        </w:rPr>
      </w:pPr>
    </w:p>
    <w:p w14:paraId="7F031AE1" w14:textId="77777777" w:rsidR="0017313A" w:rsidRPr="0017313A" w:rsidRDefault="0017313A" w:rsidP="0017313A">
      <w:pPr>
        <w:rPr>
          <w:rFonts w:asciiTheme="minorHAnsi" w:hAnsiTheme="minorHAnsi"/>
        </w:rPr>
      </w:pPr>
    </w:p>
    <w:p w14:paraId="53C6D65E" w14:textId="77777777" w:rsidR="0017313A" w:rsidRPr="0017313A" w:rsidRDefault="0017313A" w:rsidP="0017313A">
      <w:pPr>
        <w:rPr>
          <w:rFonts w:asciiTheme="minorHAnsi" w:hAnsiTheme="minorHAnsi"/>
        </w:rPr>
      </w:pPr>
    </w:p>
    <w:p w14:paraId="2FEDBBF4" w14:textId="77777777" w:rsidR="0017313A" w:rsidRDefault="0017313A" w:rsidP="0017313A">
      <w:pPr>
        <w:rPr>
          <w:rFonts w:asciiTheme="minorHAnsi" w:hAnsiTheme="minorHAnsi"/>
        </w:rPr>
      </w:pPr>
    </w:p>
    <w:p w14:paraId="7C296DFB" w14:textId="77777777" w:rsidR="0017313A" w:rsidRDefault="0017313A" w:rsidP="0017313A">
      <w:pPr>
        <w:rPr>
          <w:rFonts w:asciiTheme="minorHAnsi" w:hAnsiTheme="minorHAnsi"/>
        </w:rPr>
      </w:pPr>
    </w:p>
    <w:p w14:paraId="6405EEB5" w14:textId="52A38CE4" w:rsidR="0017313A" w:rsidRPr="0017313A" w:rsidRDefault="0017313A" w:rsidP="0017313A">
      <w:pPr>
        <w:tabs>
          <w:tab w:val="left" w:pos="3819"/>
        </w:tabs>
        <w:rPr>
          <w:rFonts w:asciiTheme="minorHAnsi" w:hAnsiTheme="minorHAnsi"/>
        </w:rPr>
      </w:pPr>
      <w:r>
        <w:rPr>
          <w:rFonts w:asciiTheme="minorHAnsi" w:hAnsiTheme="minorHAnsi"/>
        </w:rPr>
        <w:tab/>
      </w:r>
    </w:p>
    <w:sectPr w:rsidR="0017313A" w:rsidRPr="0017313A" w:rsidSect="00255B85">
      <w:headerReference w:type="default" r:id="rId21"/>
      <w:pgSz w:w="12240" w:h="15840"/>
      <w:pgMar w:top="1500" w:right="1060" w:bottom="980" w:left="1300" w:header="0" w:footer="7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E9357" w14:textId="77777777" w:rsidR="00C7475E" w:rsidRDefault="00C7475E">
      <w:pPr>
        <w:spacing w:after="0" w:line="240" w:lineRule="auto"/>
      </w:pPr>
      <w:r>
        <w:separator/>
      </w:r>
    </w:p>
  </w:endnote>
  <w:endnote w:type="continuationSeparator" w:id="0">
    <w:p w14:paraId="787931B1" w14:textId="77777777" w:rsidR="00C7475E" w:rsidRDefault="00C7475E">
      <w:pPr>
        <w:spacing w:after="0" w:line="240" w:lineRule="auto"/>
      </w:pPr>
      <w:r>
        <w:continuationSeparator/>
      </w:r>
    </w:p>
  </w:endnote>
  <w:endnote w:type="continuationNotice" w:id="1">
    <w:p w14:paraId="7416603B" w14:textId="77777777" w:rsidR="00C7475E" w:rsidRDefault="00C747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 w:name="Lato Light">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Gill Sans Nova Book">
    <w:panose1 w:val="020B0502020204020203"/>
    <w:charset w:val="00"/>
    <w:family w:val="swiss"/>
    <w:notTrueType/>
    <w:pitch w:val="variable"/>
    <w:sig w:usb0="A00002AF" w:usb1="00006803" w:usb2="00000000" w:usb3="00000000" w:csb0="0000019F" w:csb1="00000000"/>
  </w:font>
  <w:font w:name="Gill Sans Nova SemiBold">
    <w:panose1 w:val="020B0702020204020203"/>
    <w:charset w:val="00"/>
    <w:family w:val="swiss"/>
    <w:notTrueType/>
    <w:pitch w:val="variable"/>
    <w:sig w:usb0="A00002AF" w:usb1="000068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5" w14:textId="77777777" w:rsidR="006B799D" w:rsidRDefault="00CC1E6B">
    <w:r>
      <w:rPr>
        <w:b/>
      </w:rPr>
      <w:fldChar w:fldCharType="begin"/>
    </w:r>
    <w:r>
      <w:rPr>
        <w:b/>
      </w:rPr>
      <w:instrText>PAGE</w:instrText>
    </w:r>
    <w:r w:rsidR="003E77E6">
      <w:rPr>
        <w:b/>
      </w:rPr>
      <w:fldChar w:fldCharType="separate"/>
    </w:r>
    <w:r>
      <w:rPr>
        <w:b/>
      </w:rPr>
      <w:fldChar w:fldCharType="end"/>
    </w:r>
    <w:r>
      <w:t xml:space="preserve"> |</w:t>
    </w:r>
    <w:r>
      <w:tab/>
      <w:t>AMELP USAID/Vietnam</w:t>
    </w:r>
  </w:p>
  <w:p w14:paraId="00000226" w14:textId="77777777" w:rsidR="006B799D" w:rsidRDefault="00CC1E6B">
    <w:r>
      <w:tab/>
      <w:t>USAID Learns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8" w14:textId="1345F00B" w:rsidR="006B799D" w:rsidRDefault="00CC1E6B">
    <w:pPr>
      <w:tabs>
        <w:tab w:val="right" w:pos="9360"/>
      </w:tabs>
      <w:rPr>
        <w:sz w:val="20"/>
        <w:szCs w:val="20"/>
      </w:rPr>
    </w:pPr>
    <w:r>
      <w:rPr>
        <w:sz w:val="20"/>
        <w:szCs w:val="20"/>
      </w:rPr>
      <w:t>HEARTH Monitoring and Evaluation Toolkit</w:t>
    </w:r>
    <w:r>
      <w:rPr>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E11CD3">
      <w:rPr>
        <w:noProof/>
        <w:color w:val="000000"/>
        <w:sz w:val="20"/>
        <w:szCs w:val="20"/>
      </w:rPr>
      <w:t>2</w:t>
    </w:r>
    <w:r>
      <w:rPr>
        <w:color w:val="000000"/>
        <w:sz w:val="20"/>
        <w:szCs w:val="20"/>
      </w:rPr>
      <w:fldChar w:fldCharType="end"/>
    </w:r>
  </w:p>
  <w:p w14:paraId="00000229" w14:textId="77777777" w:rsidR="006B799D" w:rsidRDefault="006B799D">
    <w:pPr>
      <w:widowControl w:val="0"/>
      <w:pBdr>
        <w:top w:val="nil"/>
        <w:left w:val="nil"/>
        <w:bottom w:val="nil"/>
        <w:right w:val="nil"/>
        <w:between w:val="nil"/>
      </w:pBdr>
      <w:spacing w:after="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7" w14:textId="7B916112" w:rsidR="006B799D" w:rsidRDefault="00CC1E6B">
    <w:r>
      <w:rPr>
        <w:b/>
      </w:rPr>
      <w:fldChar w:fldCharType="begin"/>
    </w:r>
    <w:r>
      <w:rPr>
        <w:b/>
      </w:rPr>
      <w:instrText>PAGE</w:instrText>
    </w:r>
    <w:r>
      <w:rPr>
        <w:b/>
      </w:rPr>
      <w:fldChar w:fldCharType="separate"/>
    </w:r>
    <w:r w:rsidR="00E11CD3">
      <w:rPr>
        <w:b/>
        <w:noProof/>
      </w:rPr>
      <w:t>1</w:t>
    </w:r>
    <w:r>
      <w:rPr>
        <w:b/>
      </w:rPr>
      <w:fldChar w:fldCharType="end"/>
    </w:r>
    <w:r>
      <w:t xml:space="preserve"> |</w:t>
    </w:r>
    <w:r>
      <w:tab/>
      <w:t>INRM MEL PLAN  USAID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42E53" w14:textId="77777777" w:rsidR="00C7475E" w:rsidRDefault="00C7475E">
      <w:pPr>
        <w:spacing w:after="0" w:line="240" w:lineRule="auto"/>
      </w:pPr>
      <w:r>
        <w:separator/>
      </w:r>
    </w:p>
  </w:footnote>
  <w:footnote w:type="continuationSeparator" w:id="0">
    <w:p w14:paraId="65D9B16E" w14:textId="77777777" w:rsidR="00C7475E" w:rsidRDefault="00C7475E">
      <w:pPr>
        <w:spacing w:after="0" w:line="240" w:lineRule="auto"/>
      </w:pPr>
      <w:r>
        <w:continuationSeparator/>
      </w:r>
    </w:p>
  </w:footnote>
  <w:footnote w:type="continuationNotice" w:id="1">
    <w:p w14:paraId="1373E5D0" w14:textId="77777777" w:rsidR="00C7475E" w:rsidRDefault="00C7475E">
      <w:pPr>
        <w:spacing w:after="0" w:line="240" w:lineRule="auto"/>
      </w:pPr>
    </w:p>
  </w:footnote>
  <w:footnote w:id="2">
    <w:p w14:paraId="51E82CC6" w14:textId="77777777" w:rsidR="00FC1C73" w:rsidRPr="0017313A" w:rsidRDefault="00FC1C73" w:rsidP="00FC1C73">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17313A">
        <w:rPr>
          <w:rStyle w:val="FootnoteReference"/>
          <w:rFonts w:asciiTheme="minorHAnsi" w:hAnsiTheme="minorHAnsi" w:cs="Gill Sans"/>
          <w:sz w:val="18"/>
          <w:szCs w:val="18"/>
        </w:rPr>
        <w:footnoteRef/>
      </w:r>
      <w:r w:rsidRPr="0017313A">
        <w:rPr>
          <w:rFonts w:asciiTheme="minorHAnsi" w:eastAsia="Gill Sans" w:hAnsiTheme="minorHAnsi" w:cs="Gill Sans"/>
          <w:color w:val="000000"/>
          <w:sz w:val="18"/>
          <w:szCs w:val="18"/>
        </w:rPr>
        <w:t xml:space="preserve"> “State-Level Governance, U.S.” The SAGE Encyclopedia of Higher Education, 2020. https://doi.org/10.4135/9781529714395.n522. https://www.iied.org/site-level-assessment-governance-equity-sage.</w:t>
      </w:r>
    </w:p>
  </w:footnote>
  <w:footnote w:id="3">
    <w:p w14:paraId="530A98FF" w14:textId="77777777" w:rsidR="00FC1C73" w:rsidRPr="008F6A21" w:rsidRDefault="00FC1C73" w:rsidP="00FC1C73">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vertAlign w:val="superscript"/>
        </w:rPr>
        <w:t xml:space="preserve"> </w:t>
      </w:r>
      <w:r w:rsidRPr="008F6A21">
        <w:rPr>
          <w:rFonts w:asciiTheme="minorHAnsi" w:eastAsia="Gill Sans" w:hAnsiTheme="minorHAnsi" w:cs="Gill Sans"/>
          <w:color w:val="000000"/>
          <w:sz w:val="18"/>
          <w:szCs w:val="18"/>
        </w:rPr>
        <w:t xml:space="preserve">ibid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1F" w14:textId="77777777" w:rsidR="006B799D" w:rsidRDefault="006B799D"/>
  <w:tbl>
    <w:tblPr>
      <w:tblW w:w="9027" w:type="dxa"/>
      <w:tblBorders>
        <w:top w:val="single" w:sz="4" w:space="0" w:color="A8A1A0"/>
        <w:left w:val="single" w:sz="4" w:space="0" w:color="A8A1A0"/>
        <w:bottom w:val="single" w:sz="4" w:space="0" w:color="A8A1A0"/>
        <w:right w:val="single" w:sz="4" w:space="0" w:color="A8A1A0"/>
        <w:insideH w:val="single" w:sz="4" w:space="0" w:color="A8A1A0"/>
        <w:insideV w:val="single" w:sz="4" w:space="0" w:color="A8A1A0"/>
      </w:tblBorders>
      <w:tblLayout w:type="fixed"/>
      <w:tblCellMar>
        <w:left w:w="115" w:type="dxa"/>
        <w:right w:w="115" w:type="dxa"/>
      </w:tblCellMar>
      <w:tblLook w:val="0600" w:firstRow="0" w:lastRow="0" w:firstColumn="0" w:lastColumn="0" w:noHBand="1" w:noVBand="1"/>
    </w:tblPr>
    <w:tblGrid>
      <w:gridCol w:w="3009"/>
      <w:gridCol w:w="3009"/>
      <w:gridCol w:w="3009"/>
    </w:tblGrid>
    <w:tr w:rsidR="006B799D" w14:paraId="668C55DA" w14:textId="77777777">
      <w:tc>
        <w:tcPr>
          <w:tcW w:w="3009" w:type="dxa"/>
          <w:shd w:val="clear" w:color="auto" w:fill="E2DFDF"/>
        </w:tcPr>
        <w:p w14:paraId="00000220" w14:textId="77777777" w:rsidR="006B799D" w:rsidRDefault="006B799D"/>
      </w:tc>
      <w:tc>
        <w:tcPr>
          <w:tcW w:w="3009" w:type="dxa"/>
          <w:shd w:val="clear" w:color="auto" w:fill="E2DFDF"/>
        </w:tcPr>
        <w:p w14:paraId="00000221" w14:textId="77777777" w:rsidR="006B799D" w:rsidRDefault="006B799D"/>
      </w:tc>
      <w:tc>
        <w:tcPr>
          <w:tcW w:w="3009" w:type="dxa"/>
          <w:shd w:val="clear" w:color="auto" w:fill="E2DFDF"/>
        </w:tcPr>
        <w:p w14:paraId="00000222" w14:textId="77777777" w:rsidR="006B799D" w:rsidRDefault="006B799D"/>
      </w:tc>
    </w:tr>
  </w:tbl>
  <w:p w14:paraId="00000223" w14:textId="77777777" w:rsidR="006B799D" w:rsidRDefault="006B799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4" w14:textId="77777777" w:rsidR="006B799D" w:rsidRDefault="006B79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70007"/>
    <w:multiLevelType w:val="multilevel"/>
    <w:tmpl w:val="8E7CCF3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1E40153"/>
    <w:multiLevelType w:val="multilevel"/>
    <w:tmpl w:val="1870C1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7FF515B"/>
    <w:multiLevelType w:val="hybridMultilevel"/>
    <w:tmpl w:val="A86E0E18"/>
    <w:lvl w:ilvl="0" w:tplc="2D9AFCCA">
      <w:numFmt w:val="bullet"/>
      <w:lvlText w:val="●"/>
      <w:lvlJc w:val="left"/>
      <w:pPr>
        <w:ind w:left="437" w:hanging="322"/>
      </w:pPr>
      <w:rPr>
        <w:rFonts w:ascii="Calibri" w:eastAsia="Calibri" w:hAnsi="Calibri" w:cs="Calibri" w:hint="default"/>
        <w:b w:val="0"/>
        <w:bCs w:val="0"/>
        <w:i w:val="0"/>
        <w:iCs w:val="0"/>
        <w:w w:val="99"/>
        <w:sz w:val="22"/>
        <w:szCs w:val="22"/>
        <w:lang w:val="en-US" w:eastAsia="en-US" w:bidi="ar-SA"/>
      </w:rPr>
    </w:lvl>
    <w:lvl w:ilvl="1" w:tplc="95263C24">
      <w:numFmt w:val="bullet"/>
      <w:lvlText w:val="•"/>
      <w:lvlJc w:val="left"/>
      <w:pPr>
        <w:ind w:left="878" w:hanging="322"/>
      </w:pPr>
      <w:rPr>
        <w:rFonts w:hint="default"/>
        <w:lang w:val="en-US" w:eastAsia="en-US" w:bidi="ar-SA"/>
      </w:rPr>
    </w:lvl>
    <w:lvl w:ilvl="2" w:tplc="82F6B9AC">
      <w:numFmt w:val="bullet"/>
      <w:lvlText w:val="•"/>
      <w:lvlJc w:val="left"/>
      <w:pPr>
        <w:ind w:left="1317" w:hanging="322"/>
      </w:pPr>
      <w:rPr>
        <w:rFonts w:hint="default"/>
        <w:lang w:val="en-US" w:eastAsia="en-US" w:bidi="ar-SA"/>
      </w:rPr>
    </w:lvl>
    <w:lvl w:ilvl="3" w:tplc="B144FD18">
      <w:numFmt w:val="bullet"/>
      <w:lvlText w:val="•"/>
      <w:lvlJc w:val="left"/>
      <w:pPr>
        <w:ind w:left="1755" w:hanging="322"/>
      </w:pPr>
      <w:rPr>
        <w:rFonts w:hint="default"/>
        <w:lang w:val="en-US" w:eastAsia="en-US" w:bidi="ar-SA"/>
      </w:rPr>
    </w:lvl>
    <w:lvl w:ilvl="4" w:tplc="49663FAE">
      <w:numFmt w:val="bullet"/>
      <w:lvlText w:val="•"/>
      <w:lvlJc w:val="left"/>
      <w:pPr>
        <w:ind w:left="2194" w:hanging="322"/>
      </w:pPr>
      <w:rPr>
        <w:rFonts w:hint="default"/>
        <w:lang w:val="en-US" w:eastAsia="en-US" w:bidi="ar-SA"/>
      </w:rPr>
    </w:lvl>
    <w:lvl w:ilvl="5" w:tplc="62385E04">
      <w:numFmt w:val="bullet"/>
      <w:lvlText w:val="•"/>
      <w:lvlJc w:val="left"/>
      <w:pPr>
        <w:ind w:left="2633" w:hanging="322"/>
      </w:pPr>
      <w:rPr>
        <w:rFonts w:hint="default"/>
        <w:lang w:val="en-US" w:eastAsia="en-US" w:bidi="ar-SA"/>
      </w:rPr>
    </w:lvl>
    <w:lvl w:ilvl="6" w:tplc="16EEE588">
      <w:numFmt w:val="bullet"/>
      <w:lvlText w:val="•"/>
      <w:lvlJc w:val="left"/>
      <w:pPr>
        <w:ind w:left="3071" w:hanging="322"/>
      </w:pPr>
      <w:rPr>
        <w:rFonts w:hint="default"/>
        <w:lang w:val="en-US" w:eastAsia="en-US" w:bidi="ar-SA"/>
      </w:rPr>
    </w:lvl>
    <w:lvl w:ilvl="7" w:tplc="58A89724">
      <w:numFmt w:val="bullet"/>
      <w:lvlText w:val="•"/>
      <w:lvlJc w:val="left"/>
      <w:pPr>
        <w:ind w:left="3510" w:hanging="322"/>
      </w:pPr>
      <w:rPr>
        <w:rFonts w:hint="default"/>
        <w:lang w:val="en-US" w:eastAsia="en-US" w:bidi="ar-SA"/>
      </w:rPr>
    </w:lvl>
    <w:lvl w:ilvl="8" w:tplc="ED00A12C">
      <w:numFmt w:val="bullet"/>
      <w:lvlText w:val="•"/>
      <w:lvlJc w:val="left"/>
      <w:pPr>
        <w:ind w:left="3948" w:hanging="322"/>
      </w:pPr>
      <w:rPr>
        <w:rFonts w:hint="default"/>
        <w:lang w:val="en-US" w:eastAsia="en-US" w:bidi="ar-SA"/>
      </w:rPr>
    </w:lvl>
  </w:abstractNum>
  <w:abstractNum w:abstractNumId="3" w15:restartNumberingAfterBreak="0">
    <w:nsid w:val="1E26548A"/>
    <w:multiLevelType w:val="hybridMultilevel"/>
    <w:tmpl w:val="F7646B0E"/>
    <w:lvl w:ilvl="0" w:tplc="703410C8">
      <w:numFmt w:val="bullet"/>
      <w:lvlText w:val="●"/>
      <w:lvlJc w:val="left"/>
      <w:pPr>
        <w:ind w:left="437" w:hanging="322"/>
      </w:pPr>
      <w:rPr>
        <w:rFonts w:ascii="Calibri" w:eastAsia="Calibri" w:hAnsi="Calibri" w:cs="Calibri" w:hint="default"/>
        <w:b w:val="0"/>
        <w:bCs w:val="0"/>
        <w:i w:val="0"/>
        <w:iCs w:val="0"/>
        <w:w w:val="99"/>
        <w:sz w:val="22"/>
        <w:szCs w:val="22"/>
        <w:lang w:val="en-US" w:eastAsia="en-US" w:bidi="ar-SA"/>
      </w:rPr>
    </w:lvl>
    <w:lvl w:ilvl="1" w:tplc="3BF20A38">
      <w:numFmt w:val="bullet"/>
      <w:lvlText w:val="•"/>
      <w:lvlJc w:val="left"/>
      <w:pPr>
        <w:ind w:left="878" w:hanging="322"/>
      </w:pPr>
      <w:rPr>
        <w:rFonts w:hint="default"/>
        <w:lang w:val="en-US" w:eastAsia="en-US" w:bidi="ar-SA"/>
      </w:rPr>
    </w:lvl>
    <w:lvl w:ilvl="2" w:tplc="6C0EACB0">
      <w:numFmt w:val="bullet"/>
      <w:lvlText w:val="•"/>
      <w:lvlJc w:val="left"/>
      <w:pPr>
        <w:ind w:left="1317" w:hanging="322"/>
      </w:pPr>
      <w:rPr>
        <w:rFonts w:hint="default"/>
        <w:lang w:val="en-US" w:eastAsia="en-US" w:bidi="ar-SA"/>
      </w:rPr>
    </w:lvl>
    <w:lvl w:ilvl="3" w:tplc="69C88928">
      <w:numFmt w:val="bullet"/>
      <w:lvlText w:val="•"/>
      <w:lvlJc w:val="left"/>
      <w:pPr>
        <w:ind w:left="1755" w:hanging="322"/>
      </w:pPr>
      <w:rPr>
        <w:rFonts w:hint="default"/>
        <w:lang w:val="en-US" w:eastAsia="en-US" w:bidi="ar-SA"/>
      </w:rPr>
    </w:lvl>
    <w:lvl w:ilvl="4" w:tplc="46FA46A4">
      <w:numFmt w:val="bullet"/>
      <w:lvlText w:val="•"/>
      <w:lvlJc w:val="left"/>
      <w:pPr>
        <w:ind w:left="2194" w:hanging="322"/>
      </w:pPr>
      <w:rPr>
        <w:rFonts w:hint="default"/>
        <w:lang w:val="en-US" w:eastAsia="en-US" w:bidi="ar-SA"/>
      </w:rPr>
    </w:lvl>
    <w:lvl w:ilvl="5" w:tplc="998AE212">
      <w:numFmt w:val="bullet"/>
      <w:lvlText w:val="•"/>
      <w:lvlJc w:val="left"/>
      <w:pPr>
        <w:ind w:left="2633" w:hanging="322"/>
      </w:pPr>
      <w:rPr>
        <w:rFonts w:hint="default"/>
        <w:lang w:val="en-US" w:eastAsia="en-US" w:bidi="ar-SA"/>
      </w:rPr>
    </w:lvl>
    <w:lvl w:ilvl="6" w:tplc="5DB68334">
      <w:numFmt w:val="bullet"/>
      <w:lvlText w:val="•"/>
      <w:lvlJc w:val="left"/>
      <w:pPr>
        <w:ind w:left="3071" w:hanging="322"/>
      </w:pPr>
      <w:rPr>
        <w:rFonts w:hint="default"/>
        <w:lang w:val="en-US" w:eastAsia="en-US" w:bidi="ar-SA"/>
      </w:rPr>
    </w:lvl>
    <w:lvl w:ilvl="7" w:tplc="D4B242DA">
      <w:numFmt w:val="bullet"/>
      <w:lvlText w:val="•"/>
      <w:lvlJc w:val="left"/>
      <w:pPr>
        <w:ind w:left="3510" w:hanging="322"/>
      </w:pPr>
      <w:rPr>
        <w:rFonts w:hint="default"/>
        <w:lang w:val="en-US" w:eastAsia="en-US" w:bidi="ar-SA"/>
      </w:rPr>
    </w:lvl>
    <w:lvl w:ilvl="8" w:tplc="36060828">
      <w:numFmt w:val="bullet"/>
      <w:lvlText w:val="•"/>
      <w:lvlJc w:val="left"/>
      <w:pPr>
        <w:ind w:left="3948" w:hanging="322"/>
      </w:pPr>
      <w:rPr>
        <w:rFonts w:hint="default"/>
        <w:lang w:val="en-US" w:eastAsia="en-US" w:bidi="ar-SA"/>
      </w:rPr>
    </w:lvl>
  </w:abstractNum>
  <w:abstractNum w:abstractNumId="4" w15:restartNumberingAfterBreak="0">
    <w:nsid w:val="2F2D1CC9"/>
    <w:multiLevelType w:val="multilevel"/>
    <w:tmpl w:val="0BEA94AE"/>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03237FD"/>
    <w:multiLevelType w:val="multilevel"/>
    <w:tmpl w:val="26F4A18A"/>
    <w:lvl w:ilvl="0">
      <w:start w:val="1"/>
      <w:numFmt w:val="decimal"/>
      <w:pStyle w:val="ListBullet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40710C4"/>
    <w:multiLevelType w:val="multilevel"/>
    <w:tmpl w:val="AD38C4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ED91B8B"/>
    <w:multiLevelType w:val="multilevel"/>
    <w:tmpl w:val="CEB69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4AD3876"/>
    <w:multiLevelType w:val="hybridMultilevel"/>
    <w:tmpl w:val="6A12B54A"/>
    <w:lvl w:ilvl="0" w:tplc="7A56D7E6">
      <w:numFmt w:val="bullet"/>
      <w:lvlText w:val="●"/>
      <w:lvlJc w:val="left"/>
      <w:pPr>
        <w:ind w:left="437" w:hanging="322"/>
      </w:pPr>
      <w:rPr>
        <w:rFonts w:ascii="Calibri" w:eastAsia="Calibri" w:hAnsi="Calibri" w:cs="Calibri" w:hint="default"/>
        <w:b w:val="0"/>
        <w:bCs w:val="0"/>
        <w:i w:val="0"/>
        <w:iCs w:val="0"/>
        <w:w w:val="99"/>
        <w:sz w:val="22"/>
        <w:szCs w:val="22"/>
        <w:lang w:val="en-US" w:eastAsia="en-US" w:bidi="ar-SA"/>
      </w:rPr>
    </w:lvl>
    <w:lvl w:ilvl="1" w:tplc="42C4DEC6">
      <w:numFmt w:val="bullet"/>
      <w:lvlText w:val="•"/>
      <w:lvlJc w:val="left"/>
      <w:pPr>
        <w:ind w:left="878" w:hanging="322"/>
      </w:pPr>
      <w:rPr>
        <w:rFonts w:hint="default"/>
        <w:lang w:val="en-US" w:eastAsia="en-US" w:bidi="ar-SA"/>
      </w:rPr>
    </w:lvl>
    <w:lvl w:ilvl="2" w:tplc="FC8656BC">
      <w:numFmt w:val="bullet"/>
      <w:lvlText w:val="•"/>
      <w:lvlJc w:val="left"/>
      <w:pPr>
        <w:ind w:left="1317" w:hanging="322"/>
      </w:pPr>
      <w:rPr>
        <w:rFonts w:hint="default"/>
        <w:lang w:val="en-US" w:eastAsia="en-US" w:bidi="ar-SA"/>
      </w:rPr>
    </w:lvl>
    <w:lvl w:ilvl="3" w:tplc="CA1E7C84">
      <w:numFmt w:val="bullet"/>
      <w:lvlText w:val="•"/>
      <w:lvlJc w:val="left"/>
      <w:pPr>
        <w:ind w:left="1755" w:hanging="322"/>
      </w:pPr>
      <w:rPr>
        <w:rFonts w:hint="default"/>
        <w:lang w:val="en-US" w:eastAsia="en-US" w:bidi="ar-SA"/>
      </w:rPr>
    </w:lvl>
    <w:lvl w:ilvl="4" w:tplc="57DCE80C">
      <w:numFmt w:val="bullet"/>
      <w:lvlText w:val="•"/>
      <w:lvlJc w:val="left"/>
      <w:pPr>
        <w:ind w:left="2194" w:hanging="322"/>
      </w:pPr>
      <w:rPr>
        <w:rFonts w:hint="default"/>
        <w:lang w:val="en-US" w:eastAsia="en-US" w:bidi="ar-SA"/>
      </w:rPr>
    </w:lvl>
    <w:lvl w:ilvl="5" w:tplc="9574FC3E">
      <w:numFmt w:val="bullet"/>
      <w:lvlText w:val="•"/>
      <w:lvlJc w:val="left"/>
      <w:pPr>
        <w:ind w:left="2633" w:hanging="322"/>
      </w:pPr>
      <w:rPr>
        <w:rFonts w:hint="default"/>
        <w:lang w:val="en-US" w:eastAsia="en-US" w:bidi="ar-SA"/>
      </w:rPr>
    </w:lvl>
    <w:lvl w:ilvl="6" w:tplc="6E949534">
      <w:numFmt w:val="bullet"/>
      <w:lvlText w:val="•"/>
      <w:lvlJc w:val="left"/>
      <w:pPr>
        <w:ind w:left="3071" w:hanging="322"/>
      </w:pPr>
      <w:rPr>
        <w:rFonts w:hint="default"/>
        <w:lang w:val="en-US" w:eastAsia="en-US" w:bidi="ar-SA"/>
      </w:rPr>
    </w:lvl>
    <w:lvl w:ilvl="7" w:tplc="6510A6A2">
      <w:numFmt w:val="bullet"/>
      <w:lvlText w:val="•"/>
      <w:lvlJc w:val="left"/>
      <w:pPr>
        <w:ind w:left="3510" w:hanging="322"/>
      </w:pPr>
      <w:rPr>
        <w:rFonts w:hint="default"/>
        <w:lang w:val="en-US" w:eastAsia="en-US" w:bidi="ar-SA"/>
      </w:rPr>
    </w:lvl>
    <w:lvl w:ilvl="8" w:tplc="41D84D0A">
      <w:numFmt w:val="bullet"/>
      <w:lvlText w:val="•"/>
      <w:lvlJc w:val="left"/>
      <w:pPr>
        <w:ind w:left="3948" w:hanging="322"/>
      </w:pPr>
      <w:rPr>
        <w:rFonts w:hint="default"/>
        <w:lang w:val="en-US" w:eastAsia="en-US" w:bidi="ar-SA"/>
      </w:rPr>
    </w:lvl>
  </w:abstractNum>
  <w:abstractNum w:abstractNumId="9" w15:restartNumberingAfterBreak="0">
    <w:nsid w:val="5C40484A"/>
    <w:multiLevelType w:val="multilevel"/>
    <w:tmpl w:val="1AA827B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EE84467"/>
    <w:multiLevelType w:val="multilevel"/>
    <w:tmpl w:val="D9D8BE24"/>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F8B2776"/>
    <w:multiLevelType w:val="multilevel"/>
    <w:tmpl w:val="27929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9872628"/>
    <w:multiLevelType w:val="multilevel"/>
    <w:tmpl w:val="F99C5B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06247906">
    <w:abstractNumId w:val="5"/>
  </w:num>
  <w:num w:numId="2" w16cid:durableId="905339301">
    <w:abstractNumId w:val="10"/>
  </w:num>
  <w:num w:numId="3" w16cid:durableId="1702246168">
    <w:abstractNumId w:val="2"/>
  </w:num>
  <w:num w:numId="4" w16cid:durableId="1963875206">
    <w:abstractNumId w:val="8"/>
  </w:num>
  <w:num w:numId="5" w16cid:durableId="1249264451">
    <w:abstractNumId w:val="3"/>
  </w:num>
  <w:num w:numId="6" w16cid:durableId="92482237">
    <w:abstractNumId w:val="7"/>
  </w:num>
  <w:num w:numId="7" w16cid:durableId="1965769031">
    <w:abstractNumId w:val="9"/>
  </w:num>
  <w:num w:numId="8" w16cid:durableId="186220208">
    <w:abstractNumId w:val="1"/>
  </w:num>
  <w:num w:numId="9" w16cid:durableId="1189375619">
    <w:abstractNumId w:val="12"/>
  </w:num>
  <w:num w:numId="10" w16cid:durableId="1173758574">
    <w:abstractNumId w:val="4"/>
  </w:num>
  <w:num w:numId="11" w16cid:durableId="336419562">
    <w:abstractNumId w:val="0"/>
  </w:num>
  <w:num w:numId="12" w16cid:durableId="938367509">
    <w:abstractNumId w:val="6"/>
  </w:num>
  <w:num w:numId="13" w16cid:durableId="24592118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99D"/>
    <w:rsid w:val="00011617"/>
    <w:rsid w:val="00050406"/>
    <w:rsid w:val="00056444"/>
    <w:rsid w:val="00056D1F"/>
    <w:rsid w:val="000611F6"/>
    <w:rsid w:val="00094C21"/>
    <w:rsid w:val="00096F6D"/>
    <w:rsid w:val="000A2C94"/>
    <w:rsid w:val="000A3CD2"/>
    <w:rsid w:val="000C3916"/>
    <w:rsid w:val="000E17AC"/>
    <w:rsid w:val="000F2A47"/>
    <w:rsid w:val="0010019B"/>
    <w:rsid w:val="00133786"/>
    <w:rsid w:val="0017313A"/>
    <w:rsid w:val="00184B36"/>
    <w:rsid w:val="001940FE"/>
    <w:rsid w:val="001A54D3"/>
    <w:rsid w:val="001C2C65"/>
    <w:rsid w:val="001C600B"/>
    <w:rsid w:val="001D65AC"/>
    <w:rsid w:val="002016C4"/>
    <w:rsid w:val="0023144A"/>
    <w:rsid w:val="00252A1E"/>
    <w:rsid w:val="00255B85"/>
    <w:rsid w:val="00264423"/>
    <w:rsid w:val="002A6CC4"/>
    <w:rsid w:val="002B3335"/>
    <w:rsid w:val="002D3DAD"/>
    <w:rsid w:val="002F1D0E"/>
    <w:rsid w:val="003215BE"/>
    <w:rsid w:val="00322FF0"/>
    <w:rsid w:val="003425A6"/>
    <w:rsid w:val="00345550"/>
    <w:rsid w:val="003A2033"/>
    <w:rsid w:val="003A5ED4"/>
    <w:rsid w:val="003B26F1"/>
    <w:rsid w:val="003D1B95"/>
    <w:rsid w:val="003E77E6"/>
    <w:rsid w:val="00452010"/>
    <w:rsid w:val="00475F88"/>
    <w:rsid w:val="00481D78"/>
    <w:rsid w:val="004874F0"/>
    <w:rsid w:val="004A1F40"/>
    <w:rsid w:val="004D41A4"/>
    <w:rsid w:val="004E1E41"/>
    <w:rsid w:val="004E5EE2"/>
    <w:rsid w:val="0054200C"/>
    <w:rsid w:val="00542980"/>
    <w:rsid w:val="00562473"/>
    <w:rsid w:val="00564AB1"/>
    <w:rsid w:val="00564BEE"/>
    <w:rsid w:val="005719BA"/>
    <w:rsid w:val="00576F29"/>
    <w:rsid w:val="006450EE"/>
    <w:rsid w:val="00647F04"/>
    <w:rsid w:val="006541D2"/>
    <w:rsid w:val="006866A4"/>
    <w:rsid w:val="00693ADE"/>
    <w:rsid w:val="006A0D90"/>
    <w:rsid w:val="006A373B"/>
    <w:rsid w:val="006A5355"/>
    <w:rsid w:val="006B799D"/>
    <w:rsid w:val="006D11E3"/>
    <w:rsid w:val="006D583B"/>
    <w:rsid w:val="006E5585"/>
    <w:rsid w:val="007060EA"/>
    <w:rsid w:val="00732A29"/>
    <w:rsid w:val="00744CD0"/>
    <w:rsid w:val="00765D27"/>
    <w:rsid w:val="00774883"/>
    <w:rsid w:val="0078319D"/>
    <w:rsid w:val="007978FC"/>
    <w:rsid w:val="007F7820"/>
    <w:rsid w:val="008160DA"/>
    <w:rsid w:val="00820051"/>
    <w:rsid w:val="0082528B"/>
    <w:rsid w:val="008252FC"/>
    <w:rsid w:val="008545D4"/>
    <w:rsid w:val="00895435"/>
    <w:rsid w:val="009300A1"/>
    <w:rsid w:val="00942FB9"/>
    <w:rsid w:val="009651C6"/>
    <w:rsid w:val="009A5C3F"/>
    <w:rsid w:val="009B155E"/>
    <w:rsid w:val="009D076F"/>
    <w:rsid w:val="00A31AD1"/>
    <w:rsid w:val="00A557DB"/>
    <w:rsid w:val="00A56FD4"/>
    <w:rsid w:val="00A82E2C"/>
    <w:rsid w:val="00A876D1"/>
    <w:rsid w:val="00A95ABD"/>
    <w:rsid w:val="00AD2A90"/>
    <w:rsid w:val="00B20E86"/>
    <w:rsid w:val="00B60A88"/>
    <w:rsid w:val="00B96ECD"/>
    <w:rsid w:val="00BD005B"/>
    <w:rsid w:val="00BF250F"/>
    <w:rsid w:val="00C50BA6"/>
    <w:rsid w:val="00C648D0"/>
    <w:rsid w:val="00C7475E"/>
    <w:rsid w:val="00C75619"/>
    <w:rsid w:val="00C764AD"/>
    <w:rsid w:val="00CA0000"/>
    <w:rsid w:val="00CA2D8C"/>
    <w:rsid w:val="00CA76B9"/>
    <w:rsid w:val="00CB651D"/>
    <w:rsid w:val="00CC0596"/>
    <w:rsid w:val="00CC1E6B"/>
    <w:rsid w:val="00CE002D"/>
    <w:rsid w:val="00D15707"/>
    <w:rsid w:val="00D16407"/>
    <w:rsid w:val="00D260D0"/>
    <w:rsid w:val="00D30EBC"/>
    <w:rsid w:val="00D4004C"/>
    <w:rsid w:val="00D5682F"/>
    <w:rsid w:val="00E0420C"/>
    <w:rsid w:val="00E11CD3"/>
    <w:rsid w:val="00E175C3"/>
    <w:rsid w:val="00E921FB"/>
    <w:rsid w:val="00EA2E1B"/>
    <w:rsid w:val="00EB241D"/>
    <w:rsid w:val="00ED06B9"/>
    <w:rsid w:val="00EE712E"/>
    <w:rsid w:val="00EF69A0"/>
    <w:rsid w:val="00F27BB6"/>
    <w:rsid w:val="00F60A2F"/>
    <w:rsid w:val="00F63264"/>
    <w:rsid w:val="00F7111E"/>
    <w:rsid w:val="00F711DE"/>
    <w:rsid w:val="00FC1C73"/>
    <w:rsid w:val="00FC4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83C17"/>
  <w15:docId w15:val="{D3E2155A-766C-4B1D-A2DA-9CA2B0F1A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2"/>
        <w:szCs w:val="22"/>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127"/>
    <w:rPr>
      <w:rFonts w:ascii="Gill Sans MT" w:eastAsia="Source Sans Pro" w:hAnsi="Gill Sans MT" w:cstheme="minorBidi"/>
    </w:rPr>
  </w:style>
  <w:style w:type="paragraph" w:styleId="Heading1">
    <w:name w:val="heading 1"/>
    <w:basedOn w:val="Normal"/>
    <w:next w:val="Normal"/>
    <w:link w:val="Heading1Char"/>
    <w:uiPriority w:val="9"/>
    <w:qFormat/>
    <w:rsid w:val="00C87127"/>
    <w:pPr>
      <w:keepNext/>
      <w:keepLines/>
      <w:spacing w:before="600" w:line="240" w:lineRule="auto"/>
      <w:outlineLvl w:val="0"/>
    </w:pPr>
    <w:rPr>
      <w:rFonts w:asciiTheme="majorHAnsi" w:eastAsia="Lato Light" w:hAnsiTheme="majorHAnsi" w:cs="Lato Light"/>
      <w:color w:val="002F6C" w:themeColor="text2"/>
      <w:sz w:val="70"/>
      <w:szCs w:val="70"/>
    </w:rPr>
  </w:style>
  <w:style w:type="paragraph" w:styleId="Heading2">
    <w:name w:val="heading 2"/>
    <w:basedOn w:val="Heading1"/>
    <w:next w:val="Normal"/>
    <w:link w:val="Heading2Char"/>
    <w:uiPriority w:val="9"/>
    <w:unhideWhenUsed/>
    <w:qFormat/>
    <w:rsid w:val="00D055FD"/>
    <w:pPr>
      <w:spacing w:before="360" w:after="120"/>
      <w:outlineLvl w:val="1"/>
    </w:pPr>
    <w:rPr>
      <w:color w:val="004A8C" w:themeColor="accent1" w:themeShade="BF"/>
      <w:sz w:val="48"/>
      <w:szCs w:val="48"/>
    </w:rPr>
  </w:style>
  <w:style w:type="paragraph" w:styleId="Heading3">
    <w:name w:val="heading 3"/>
    <w:basedOn w:val="Heading2"/>
    <w:next w:val="Normal"/>
    <w:link w:val="Heading3Char"/>
    <w:uiPriority w:val="9"/>
    <w:unhideWhenUsed/>
    <w:qFormat/>
    <w:rsid w:val="00D055FD"/>
    <w:pPr>
      <w:outlineLvl w:val="2"/>
    </w:pPr>
    <w:rPr>
      <w:sz w:val="34"/>
      <w:szCs w:val="34"/>
    </w:rPr>
  </w:style>
  <w:style w:type="paragraph" w:styleId="Heading4">
    <w:name w:val="heading 4"/>
    <w:basedOn w:val="Heading3"/>
    <w:next w:val="Normal"/>
    <w:link w:val="Heading4Char"/>
    <w:uiPriority w:val="9"/>
    <w:unhideWhenUsed/>
    <w:qFormat/>
    <w:rsid w:val="00C87127"/>
    <w:pPr>
      <w:outlineLvl w:val="3"/>
    </w:pPr>
    <w:rPr>
      <w:i/>
      <w:iCs/>
      <w:color w:val="4D8EDC" w:themeColor="accent2" w:themeShade="BF"/>
      <w:sz w:val="28"/>
      <w:szCs w:val="30"/>
    </w:rPr>
  </w:style>
  <w:style w:type="paragraph" w:styleId="Heading5">
    <w:name w:val="heading 5"/>
    <w:basedOn w:val="Normal"/>
    <w:next w:val="Normal"/>
    <w:link w:val="Heading5Char"/>
    <w:uiPriority w:val="9"/>
    <w:unhideWhenUsed/>
    <w:qFormat/>
    <w:rsid w:val="00C87127"/>
    <w:pPr>
      <w:spacing w:before="360" w:after="120"/>
      <w:outlineLvl w:val="4"/>
    </w:pPr>
    <w:rPr>
      <w:i/>
      <w:iCs/>
      <w:color w:val="4D8EDC" w:themeColor="accent2" w:themeShade="BF"/>
      <w:sz w:val="20"/>
      <w:szCs w:val="20"/>
    </w:rPr>
  </w:style>
  <w:style w:type="paragraph" w:styleId="Heading6">
    <w:name w:val="heading 6"/>
    <w:basedOn w:val="Normal"/>
    <w:next w:val="Normal"/>
    <w:link w:val="Heading6Char"/>
    <w:uiPriority w:val="9"/>
    <w:unhideWhenUsed/>
    <w:qFormat/>
    <w:rsid w:val="00C87127"/>
    <w:pPr>
      <w:keepNext/>
      <w:keepLines/>
      <w:spacing w:before="200" w:after="40"/>
      <w:outlineLvl w:val="5"/>
    </w:pPr>
    <w:rPr>
      <w:rFonts w:asciiTheme="majorHAnsi" w:eastAsia="Lato Light" w:hAnsiTheme="majorHAnsi" w:cs="Lato Light"/>
      <w:i/>
      <w:color w:val="4D8EDC" w:themeColor="accent2" w:themeShade="BF"/>
      <w:sz w:val="18"/>
      <w:szCs w:val="18"/>
    </w:rPr>
  </w:style>
  <w:style w:type="paragraph" w:styleId="Heading7">
    <w:name w:val="heading 7"/>
    <w:basedOn w:val="Normal"/>
    <w:link w:val="Heading7Char"/>
    <w:uiPriority w:val="1"/>
    <w:qFormat/>
    <w:rsid w:val="000F2A47"/>
    <w:pPr>
      <w:widowControl w:val="0"/>
      <w:autoSpaceDE w:val="0"/>
      <w:autoSpaceDN w:val="0"/>
      <w:spacing w:after="0" w:line="240" w:lineRule="auto"/>
      <w:ind w:left="140"/>
      <w:outlineLvl w:val="6"/>
    </w:pPr>
    <w:rPr>
      <w:rFonts w:eastAsia="Gill Sans MT" w:cs="Gill Sans MT"/>
      <w:i/>
      <w:iCs/>
      <w:sz w:val="28"/>
      <w:szCs w:val="28"/>
    </w:rPr>
  </w:style>
  <w:style w:type="paragraph" w:styleId="Heading8">
    <w:name w:val="heading 8"/>
    <w:basedOn w:val="Normal"/>
    <w:next w:val="Normal"/>
    <w:link w:val="Heading8Char"/>
    <w:uiPriority w:val="1"/>
    <w:unhideWhenUsed/>
    <w:qFormat/>
    <w:rsid w:val="000F2A4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7127"/>
    <w:pPr>
      <w:spacing w:before="240" w:after="120"/>
    </w:pPr>
    <w:rPr>
      <w:color w:val="002F6C" w:themeColor="text2"/>
      <w:sz w:val="72"/>
      <w:szCs w:val="72"/>
    </w:rPr>
  </w:style>
  <w:style w:type="character" w:customStyle="1" w:styleId="TitleChar">
    <w:name w:val="Title Char"/>
    <w:basedOn w:val="DefaultParagraphFont"/>
    <w:link w:val="Title"/>
    <w:uiPriority w:val="10"/>
    <w:rsid w:val="00C87127"/>
    <w:rPr>
      <w:rFonts w:ascii="Gill Sans MT" w:eastAsia="Source Sans Pro" w:hAnsi="Gill Sans MT" w:cstheme="minorBidi"/>
      <w:color w:val="002F6C" w:themeColor="text2"/>
      <w:sz w:val="72"/>
      <w:szCs w:val="72"/>
    </w:rPr>
  </w:style>
  <w:style w:type="table" w:styleId="TableGrid">
    <w:name w:val="Table Grid"/>
    <w:basedOn w:val="TableNormal"/>
    <w:uiPriority w:val="39"/>
    <w:rsid w:val="00BA4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7127"/>
    <w:rPr>
      <w:rFonts w:asciiTheme="majorHAnsi" w:eastAsia="Lato Light" w:hAnsiTheme="majorHAnsi" w:cs="Lato Light"/>
      <w:color w:val="002F6C" w:themeColor="text2"/>
      <w:sz w:val="70"/>
      <w:szCs w:val="70"/>
    </w:rPr>
  </w:style>
  <w:style w:type="paragraph" w:styleId="ListParagraph">
    <w:name w:val="List Paragraph"/>
    <w:basedOn w:val="Normal"/>
    <w:uiPriority w:val="1"/>
    <w:qFormat/>
    <w:rsid w:val="00C87127"/>
    <w:pPr>
      <w:ind w:left="720"/>
      <w:contextualSpacing/>
    </w:pPr>
  </w:style>
  <w:style w:type="character" w:styleId="Hyperlink">
    <w:name w:val="Hyperlink"/>
    <w:basedOn w:val="DefaultParagraphFont"/>
    <w:uiPriority w:val="99"/>
    <w:unhideWhenUsed/>
    <w:rsid w:val="00BA41D9"/>
    <w:rPr>
      <w:color w:val="0064B9" w:themeColor="hyperlink"/>
      <w:u w:val="single"/>
    </w:rPr>
  </w:style>
  <w:style w:type="character" w:styleId="FollowedHyperlink">
    <w:name w:val="FollowedHyperlink"/>
    <w:basedOn w:val="DefaultParagraphFont"/>
    <w:uiPriority w:val="99"/>
    <w:semiHidden/>
    <w:unhideWhenUsed/>
    <w:rsid w:val="00BA41D9"/>
    <w:rPr>
      <w:color w:val="A0C2E9" w:themeColor="followedHyperlink"/>
      <w:u w:val="single"/>
    </w:rPr>
  </w:style>
  <w:style w:type="paragraph" w:styleId="FootnoteText">
    <w:name w:val="footnote text"/>
    <w:basedOn w:val="Normal"/>
    <w:link w:val="FootnoteTextChar"/>
    <w:uiPriority w:val="99"/>
    <w:unhideWhenUsed/>
    <w:rsid w:val="000C4DDD"/>
    <w:pPr>
      <w:spacing w:after="180"/>
    </w:pPr>
    <w:rPr>
      <w:sz w:val="18"/>
      <w:szCs w:val="18"/>
    </w:rPr>
  </w:style>
  <w:style w:type="character" w:customStyle="1" w:styleId="FootnoteTextChar">
    <w:name w:val="Footnote Text Char"/>
    <w:basedOn w:val="DefaultParagraphFont"/>
    <w:link w:val="FootnoteText"/>
    <w:uiPriority w:val="99"/>
    <w:rsid w:val="000C4DDD"/>
    <w:rPr>
      <w:rFonts w:ascii="Gill Sans MT" w:eastAsia="Source Sans Pro" w:hAnsi="Gill Sans MT" w:cstheme="minorBidi"/>
      <w:sz w:val="18"/>
      <w:szCs w:val="18"/>
    </w:rPr>
  </w:style>
  <w:style w:type="table" w:styleId="GridTable4-Accent2">
    <w:name w:val="Grid Table 4 Accent 2"/>
    <w:basedOn w:val="TableNormal"/>
    <w:uiPriority w:val="49"/>
    <w:rsid w:val="006C3FA4"/>
    <w:pPr>
      <w:spacing w:after="0" w:line="240" w:lineRule="auto"/>
    </w:pPr>
    <w:tblPr>
      <w:tblStyleRowBandSize w:val="1"/>
      <w:tblStyleColBandSize w:val="1"/>
      <w:tblBorders>
        <w:top w:val="single" w:sz="4" w:space="0" w:color="C7DBF4" w:themeColor="accent2" w:themeTint="99"/>
        <w:left w:val="single" w:sz="4" w:space="0" w:color="C7DBF4" w:themeColor="accent2" w:themeTint="99"/>
        <w:bottom w:val="single" w:sz="4" w:space="0" w:color="C7DBF4" w:themeColor="accent2" w:themeTint="99"/>
        <w:right w:val="single" w:sz="4" w:space="0" w:color="C7DBF4" w:themeColor="accent2" w:themeTint="99"/>
        <w:insideH w:val="single" w:sz="4" w:space="0" w:color="C7DBF4" w:themeColor="accent2" w:themeTint="99"/>
        <w:insideV w:val="single" w:sz="4" w:space="0" w:color="C7DBF4" w:themeColor="accent2" w:themeTint="99"/>
      </w:tblBorders>
    </w:tblPr>
    <w:tblStylePr w:type="firstRow">
      <w:rPr>
        <w:b/>
        <w:bCs/>
        <w:color w:val="FFFFFF" w:themeColor="background1"/>
      </w:rPr>
      <w:tblPr/>
      <w:tcPr>
        <w:tcBorders>
          <w:top w:val="single" w:sz="4" w:space="0" w:color="A2C4ED" w:themeColor="accent2"/>
          <w:left w:val="single" w:sz="4" w:space="0" w:color="A2C4ED" w:themeColor="accent2"/>
          <w:bottom w:val="single" w:sz="4" w:space="0" w:color="A2C4ED" w:themeColor="accent2"/>
          <w:right w:val="single" w:sz="4" w:space="0" w:color="A2C4ED" w:themeColor="accent2"/>
          <w:insideH w:val="nil"/>
          <w:insideV w:val="nil"/>
        </w:tcBorders>
        <w:shd w:val="clear" w:color="auto" w:fill="A2C4ED" w:themeFill="accent2"/>
      </w:tcPr>
    </w:tblStylePr>
    <w:tblStylePr w:type="lastRow">
      <w:rPr>
        <w:b/>
        <w:bCs/>
      </w:rPr>
      <w:tblPr/>
      <w:tcPr>
        <w:tcBorders>
          <w:top w:val="double" w:sz="4" w:space="0" w:color="A2C4ED" w:themeColor="accent2"/>
        </w:tcBorders>
      </w:tcPr>
    </w:tblStylePr>
    <w:tblStylePr w:type="firstCol">
      <w:rPr>
        <w:b/>
        <w:bCs/>
      </w:rPr>
    </w:tblStylePr>
    <w:tblStylePr w:type="lastCol">
      <w:rPr>
        <w:b/>
        <w:bCs/>
      </w:rPr>
    </w:tblStylePr>
    <w:tblStylePr w:type="band1Vert">
      <w:tblPr/>
      <w:tcPr>
        <w:shd w:val="clear" w:color="auto" w:fill="ECF3FB" w:themeFill="accent2" w:themeFillTint="33"/>
      </w:tcPr>
    </w:tblStylePr>
    <w:tblStylePr w:type="band1Horz">
      <w:tblPr/>
      <w:tcPr>
        <w:shd w:val="clear" w:color="auto" w:fill="ECF3FB" w:themeFill="accent2" w:themeFillTint="33"/>
      </w:tcPr>
    </w:tblStylePr>
  </w:style>
  <w:style w:type="paragraph" w:styleId="Header">
    <w:name w:val="header"/>
    <w:basedOn w:val="Normal"/>
    <w:link w:val="HeaderChar"/>
    <w:uiPriority w:val="99"/>
    <w:unhideWhenUsed/>
    <w:rsid w:val="00B43A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A7D"/>
  </w:style>
  <w:style w:type="paragraph" w:styleId="Footer">
    <w:name w:val="footer"/>
    <w:basedOn w:val="Normal"/>
    <w:link w:val="FooterChar"/>
    <w:uiPriority w:val="99"/>
    <w:unhideWhenUsed/>
    <w:rsid w:val="00B43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A7D"/>
  </w:style>
  <w:style w:type="paragraph" w:styleId="EndnoteText">
    <w:name w:val="endnote text"/>
    <w:basedOn w:val="Normal"/>
    <w:link w:val="EndnoteTextChar"/>
    <w:uiPriority w:val="99"/>
    <w:semiHidden/>
    <w:unhideWhenUsed/>
    <w:rsid w:val="00016FE0"/>
    <w:pPr>
      <w:spacing w:after="0" w:line="240" w:lineRule="auto"/>
    </w:pPr>
    <w:rPr>
      <w:rFonts w:eastAsia="MS Mincho" w:cs="GillSansMTStd-Book"/>
      <w:color w:val="6C6463"/>
      <w:sz w:val="20"/>
      <w:szCs w:val="20"/>
    </w:rPr>
  </w:style>
  <w:style w:type="character" w:customStyle="1" w:styleId="EndnoteTextChar">
    <w:name w:val="Endnote Text Char"/>
    <w:basedOn w:val="DefaultParagraphFont"/>
    <w:link w:val="EndnoteText"/>
    <w:uiPriority w:val="99"/>
    <w:semiHidden/>
    <w:rsid w:val="00016FE0"/>
    <w:rPr>
      <w:rFonts w:ascii="Gill Sans MT" w:eastAsia="MS Mincho" w:hAnsi="Gill Sans MT" w:cs="GillSansMTStd-Book"/>
      <w:color w:val="6C6463"/>
      <w:sz w:val="20"/>
      <w:szCs w:val="20"/>
    </w:rPr>
  </w:style>
  <w:style w:type="character" w:styleId="EndnoteReference">
    <w:name w:val="endnote reference"/>
    <w:basedOn w:val="DefaultParagraphFont"/>
    <w:uiPriority w:val="99"/>
    <w:semiHidden/>
    <w:unhideWhenUsed/>
    <w:rsid w:val="00016FE0"/>
    <w:rPr>
      <w:vertAlign w:val="superscript"/>
    </w:rPr>
  </w:style>
  <w:style w:type="character" w:styleId="CommentReference">
    <w:name w:val="annotation reference"/>
    <w:basedOn w:val="DefaultParagraphFont"/>
    <w:uiPriority w:val="99"/>
    <w:unhideWhenUsed/>
    <w:rsid w:val="00660779"/>
    <w:rPr>
      <w:sz w:val="16"/>
      <w:szCs w:val="16"/>
    </w:rPr>
  </w:style>
  <w:style w:type="paragraph" w:styleId="CommentText">
    <w:name w:val="annotation text"/>
    <w:basedOn w:val="Normal"/>
    <w:link w:val="CommentTextChar"/>
    <w:uiPriority w:val="99"/>
    <w:unhideWhenUsed/>
    <w:rsid w:val="00660779"/>
    <w:pPr>
      <w:spacing w:line="240" w:lineRule="auto"/>
    </w:pPr>
    <w:rPr>
      <w:sz w:val="20"/>
      <w:szCs w:val="20"/>
    </w:rPr>
  </w:style>
  <w:style w:type="character" w:customStyle="1" w:styleId="CommentTextChar">
    <w:name w:val="Comment Text Char"/>
    <w:basedOn w:val="DefaultParagraphFont"/>
    <w:link w:val="CommentText"/>
    <w:uiPriority w:val="99"/>
    <w:rsid w:val="00660779"/>
    <w:rPr>
      <w:sz w:val="20"/>
      <w:szCs w:val="20"/>
    </w:rPr>
  </w:style>
  <w:style w:type="paragraph" w:styleId="CommentSubject">
    <w:name w:val="annotation subject"/>
    <w:basedOn w:val="CommentText"/>
    <w:next w:val="CommentText"/>
    <w:link w:val="CommentSubjectChar"/>
    <w:uiPriority w:val="99"/>
    <w:semiHidden/>
    <w:unhideWhenUsed/>
    <w:rsid w:val="00660779"/>
    <w:rPr>
      <w:b/>
      <w:bCs/>
    </w:rPr>
  </w:style>
  <w:style w:type="character" w:customStyle="1" w:styleId="CommentSubjectChar">
    <w:name w:val="Comment Subject Char"/>
    <w:basedOn w:val="CommentTextChar"/>
    <w:link w:val="CommentSubject"/>
    <w:uiPriority w:val="99"/>
    <w:semiHidden/>
    <w:rsid w:val="00660779"/>
    <w:rPr>
      <w:b/>
      <w:bCs/>
      <w:sz w:val="20"/>
      <w:szCs w:val="20"/>
    </w:rPr>
  </w:style>
  <w:style w:type="character" w:styleId="PageNumber">
    <w:name w:val="page number"/>
    <w:basedOn w:val="DefaultParagraphFont"/>
    <w:uiPriority w:val="99"/>
    <w:semiHidden/>
    <w:unhideWhenUsed/>
    <w:rsid w:val="002747A9"/>
  </w:style>
  <w:style w:type="paragraph" w:styleId="TOC2">
    <w:name w:val="toc 2"/>
    <w:basedOn w:val="Normal"/>
    <w:next w:val="Normal"/>
    <w:autoRedefine/>
    <w:uiPriority w:val="39"/>
    <w:qFormat/>
    <w:rsid w:val="00B0379D"/>
    <w:pPr>
      <w:tabs>
        <w:tab w:val="right" w:leader="dot" w:pos="9360"/>
      </w:tabs>
      <w:spacing w:before="40" w:after="0" w:line="240" w:lineRule="auto"/>
      <w:ind w:left="360"/>
    </w:pPr>
    <w:rPr>
      <w:rFonts w:eastAsia="Gill Sans" w:cs="GillSansMTStd-Book"/>
      <w:noProof/>
      <w:sz w:val="21"/>
      <w:szCs w:val="20"/>
    </w:rPr>
  </w:style>
  <w:style w:type="paragraph" w:styleId="TOC1">
    <w:name w:val="toc 1"/>
    <w:basedOn w:val="Normal"/>
    <w:next w:val="Normal"/>
    <w:autoRedefine/>
    <w:uiPriority w:val="39"/>
    <w:qFormat/>
    <w:rsid w:val="00CF3474"/>
    <w:pPr>
      <w:tabs>
        <w:tab w:val="right" w:leader="dot" w:pos="9360"/>
      </w:tabs>
      <w:spacing w:before="320" w:after="0" w:line="240" w:lineRule="auto"/>
    </w:pPr>
    <w:rPr>
      <w:rFonts w:eastAsia="Gill Sans" w:cs="GillSansMTStd-Book"/>
      <w:noProof/>
      <w:sz w:val="28"/>
      <w:szCs w:val="26"/>
    </w:rPr>
  </w:style>
  <w:style w:type="character" w:customStyle="1" w:styleId="Heading2Char">
    <w:name w:val="Heading 2 Char"/>
    <w:basedOn w:val="DefaultParagraphFont"/>
    <w:link w:val="Heading2"/>
    <w:uiPriority w:val="9"/>
    <w:rsid w:val="00D055FD"/>
    <w:rPr>
      <w:rFonts w:asciiTheme="majorHAnsi" w:eastAsia="Lato Light" w:hAnsiTheme="majorHAnsi" w:cs="Lato Light"/>
      <w:color w:val="004A8C" w:themeColor="accent1" w:themeShade="BF"/>
      <w:sz w:val="48"/>
      <w:szCs w:val="48"/>
    </w:rPr>
  </w:style>
  <w:style w:type="character" w:customStyle="1" w:styleId="Heading3Char">
    <w:name w:val="Heading 3 Char"/>
    <w:basedOn w:val="DefaultParagraphFont"/>
    <w:link w:val="Heading3"/>
    <w:uiPriority w:val="9"/>
    <w:rsid w:val="00D055FD"/>
    <w:rPr>
      <w:rFonts w:asciiTheme="majorHAnsi" w:eastAsia="Lato Light" w:hAnsiTheme="majorHAnsi" w:cs="Lato Light"/>
      <w:color w:val="0064BB" w:themeColor="accent1"/>
      <w:sz w:val="34"/>
      <w:szCs w:val="34"/>
    </w:rPr>
  </w:style>
  <w:style w:type="paragraph" w:styleId="NoSpacing">
    <w:name w:val="No Spacing"/>
    <w:link w:val="NoSpacingChar"/>
    <w:uiPriority w:val="1"/>
    <w:qFormat/>
    <w:rsid w:val="005A22F0"/>
    <w:pPr>
      <w:spacing w:after="0" w:line="240" w:lineRule="auto"/>
    </w:pPr>
    <w:rPr>
      <w:rFonts w:ascii="Gill Sans MT" w:eastAsia="Source Sans Pro" w:hAnsi="Gill Sans MT" w:cstheme="minorBidi"/>
    </w:rPr>
  </w:style>
  <w:style w:type="character" w:customStyle="1" w:styleId="NoSpacingChar">
    <w:name w:val="No Spacing Char"/>
    <w:basedOn w:val="DefaultParagraphFont"/>
    <w:link w:val="NoSpacing"/>
    <w:uiPriority w:val="1"/>
    <w:rsid w:val="005A22F0"/>
    <w:rPr>
      <w:rFonts w:ascii="Gill Sans MT" w:eastAsia="Source Sans Pro" w:hAnsi="Gill Sans MT" w:cstheme="minorBidi"/>
    </w:rPr>
  </w:style>
  <w:style w:type="paragraph" w:styleId="ListBullet2">
    <w:name w:val="List Bullet 2"/>
    <w:basedOn w:val="Normal"/>
    <w:uiPriority w:val="99"/>
    <w:unhideWhenUsed/>
    <w:rsid w:val="004B76D1"/>
    <w:pPr>
      <w:numPr>
        <w:numId w:val="1"/>
      </w:numPr>
      <w:spacing w:before="160" w:line="240" w:lineRule="auto"/>
      <w:contextualSpacing/>
    </w:pPr>
    <w:rPr>
      <w:rFonts w:eastAsia="Gill Sans" w:cs="GillSansMTStd-Book"/>
    </w:rPr>
  </w:style>
  <w:style w:type="character" w:styleId="PlaceholderText">
    <w:name w:val="Placeholder Text"/>
    <w:basedOn w:val="DefaultParagraphFont"/>
    <w:uiPriority w:val="99"/>
    <w:semiHidden/>
    <w:rsid w:val="0060102D"/>
    <w:rPr>
      <w:color w:val="808080"/>
    </w:rPr>
  </w:style>
  <w:style w:type="paragraph" w:styleId="Revision">
    <w:name w:val="Revision"/>
    <w:hidden/>
    <w:uiPriority w:val="99"/>
    <w:semiHidden/>
    <w:rsid w:val="00A26474"/>
    <w:pPr>
      <w:spacing w:after="0" w:line="240" w:lineRule="auto"/>
    </w:pPr>
  </w:style>
  <w:style w:type="character" w:customStyle="1" w:styleId="Heading4Char">
    <w:name w:val="Heading 4 Char"/>
    <w:basedOn w:val="DefaultParagraphFont"/>
    <w:link w:val="Heading4"/>
    <w:uiPriority w:val="9"/>
    <w:rsid w:val="00C87127"/>
    <w:rPr>
      <w:rFonts w:asciiTheme="majorHAnsi" w:eastAsia="Lato Light" w:hAnsiTheme="majorHAnsi" w:cs="Lato Light"/>
      <w:i/>
      <w:iCs/>
      <w:color w:val="4D8EDC" w:themeColor="accent2" w:themeShade="BF"/>
      <w:sz w:val="28"/>
      <w:szCs w:val="30"/>
    </w:rPr>
  </w:style>
  <w:style w:type="paragraph" w:customStyle="1" w:styleId="Bullet1">
    <w:name w:val="Bullet 1"/>
    <w:basedOn w:val="Normal"/>
    <w:autoRedefine/>
    <w:uiPriority w:val="2"/>
    <w:qFormat/>
    <w:rsid w:val="00AD18F5"/>
    <w:pPr>
      <w:widowControl w:val="0"/>
      <w:numPr>
        <w:numId w:val="2"/>
      </w:numPr>
      <w:autoSpaceDE w:val="0"/>
      <w:autoSpaceDN w:val="0"/>
      <w:adjustRightInd w:val="0"/>
      <w:spacing w:line="280" w:lineRule="atLeast"/>
      <w:ind w:left="360"/>
      <w:textAlignment w:val="center"/>
    </w:pPr>
    <w:rPr>
      <w:rFonts w:eastAsia="MS Mincho" w:cs="GillSansMTStd-Book"/>
      <w:color w:val="6C6463"/>
    </w:rPr>
  </w:style>
  <w:style w:type="paragraph" w:styleId="TOC3">
    <w:name w:val="toc 3"/>
    <w:basedOn w:val="Normal"/>
    <w:next w:val="Normal"/>
    <w:autoRedefine/>
    <w:uiPriority w:val="39"/>
    <w:unhideWhenUsed/>
    <w:qFormat/>
    <w:rsid w:val="0035116E"/>
    <w:pPr>
      <w:tabs>
        <w:tab w:val="right" w:leader="dot" w:pos="9350"/>
      </w:tabs>
      <w:spacing w:after="120"/>
    </w:pPr>
    <w:rPr>
      <w:noProof/>
    </w:rPr>
  </w:style>
  <w:style w:type="paragraph" w:styleId="TOCHeading">
    <w:name w:val="TOC Heading"/>
    <w:basedOn w:val="Heading1"/>
    <w:next w:val="Normal"/>
    <w:uiPriority w:val="39"/>
    <w:unhideWhenUsed/>
    <w:qFormat/>
    <w:rsid w:val="00182EBE"/>
    <w:pPr>
      <w:spacing w:before="480" w:after="120"/>
      <w:outlineLvl w:val="9"/>
    </w:pPr>
    <w:rPr>
      <w:rFonts w:eastAsiaTheme="majorEastAsia" w:cstheme="majorBidi"/>
      <w:szCs w:val="28"/>
    </w:rPr>
  </w:style>
  <w:style w:type="paragraph" w:styleId="Subtitle">
    <w:name w:val="Subtitle"/>
    <w:basedOn w:val="Normal"/>
    <w:next w:val="Normal"/>
    <w:link w:val="SubtitleChar"/>
    <w:uiPriority w:val="11"/>
    <w:qFormat/>
    <w:rPr>
      <w:i/>
      <w:color w:val="002F6C"/>
      <w:sz w:val="40"/>
      <w:szCs w:val="4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4" w:type="dxa"/>
        <w:left w:w="72" w:type="dxa"/>
        <w:bottom w:w="14" w:type="dxa"/>
        <w:right w:w="72" w:type="dxa"/>
      </w:tblCellMar>
    </w:tblPr>
  </w:style>
  <w:style w:type="table" w:customStyle="1" w:styleId="a2">
    <w:basedOn w:val="TableNormal"/>
    <w:tblPr>
      <w:tblStyleRowBandSize w:val="1"/>
      <w:tblStyleColBandSize w:val="1"/>
      <w:tblCellMar>
        <w:top w:w="14" w:type="dxa"/>
        <w:left w:w="72" w:type="dxa"/>
        <w:bottom w:w="14" w:type="dxa"/>
        <w:right w:w="72" w:type="dxa"/>
      </w:tblCellMar>
    </w:tblPr>
  </w:style>
  <w:style w:type="table" w:customStyle="1" w:styleId="a3">
    <w:basedOn w:val="TableNormal"/>
    <w:tblPr>
      <w:tblStyleRowBandSize w:val="1"/>
      <w:tblStyleColBandSize w:val="1"/>
      <w:tblCellMar>
        <w:top w:w="14" w:type="dxa"/>
        <w:left w:w="72" w:type="dxa"/>
        <w:bottom w:w="14" w:type="dxa"/>
        <w:right w:w="72" w:type="dxa"/>
      </w:tblCellMar>
    </w:tblPr>
  </w:style>
  <w:style w:type="table" w:customStyle="1" w:styleId="a4">
    <w:basedOn w:val="TableNormal"/>
    <w:tblPr>
      <w:tblStyleRowBandSize w:val="1"/>
      <w:tblStyleColBandSize w:val="1"/>
      <w:tblCellMar>
        <w:top w:w="14" w:type="dxa"/>
        <w:left w:w="72" w:type="dxa"/>
        <w:bottom w:w="14" w:type="dxa"/>
        <w:right w:w="72" w:type="dxa"/>
      </w:tblCellMar>
    </w:tblPr>
  </w:style>
  <w:style w:type="table" w:customStyle="1" w:styleId="a5">
    <w:basedOn w:val="TableNormal"/>
    <w:tblPr>
      <w:tblStyleRowBandSize w:val="1"/>
      <w:tblStyleColBandSize w:val="1"/>
      <w:tblCellMar>
        <w:top w:w="14" w:type="dxa"/>
        <w:left w:w="72" w:type="dxa"/>
        <w:bottom w:w="14" w:type="dxa"/>
        <w:right w:w="72" w:type="dxa"/>
      </w:tblCellMar>
    </w:tblPr>
  </w:style>
  <w:style w:type="table" w:customStyle="1" w:styleId="a6">
    <w:basedOn w:val="TableNormal"/>
    <w:tblPr>
      <w:tblStyleRowBandSize w:val="1"/>
      <w:tblStyleColBandSize w:val="1"/>
      <w:tblCellMar>
        <w:top w:w="14" w:type="dxa"/>
        <w:left w:w="72" w:type="dxa"/>
        <w:bottom w:w="14" w:type="dxa"/>
        <w:right w:w="72" w:type="dxa"/>
      </w:tblCellMar>
    </w:tblPr>
  </w:style>
  <w:style w:type="table" w:customStyle="1" w:styleId="a7">
    <w:basedOn w:val="TableNormal"/>
    <w:tblPr>
      <w:tblStyleRowBandSize w:val="1"/>
      <w:tblStyleColBandSize w:val="1"/>
      <w:tblCellMar>
        <w:top w:w="14" w:type="dxa"/>
        <w:left w:w="72" w:type="dxa"/>
        <w:bottom w:w="14" w:type="dxa"/>
        <w:right w:w="72"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4" w:type="dxa"/>
        <w:left w:w="72" w:type="dxa"/>
        <w:bottom w:w="14" w:type="dxa"/>
        <w:right w:w="72" w:type="dxa"/>
      </w:tblCellMar>
    </w:tblPr>
  </w:style>
  <w:style w:type="table" w:customStyle="1" w:styleId="aa">
    <w:basedOn w:val="TableNormal"/>
    <w:tblPr>
      <w:tblStyleRowBandSize w:val="1"/>
      <w:tblStyleColBandSize w:val="1"/>
      <w:tblCellMar>
        <w:top w:w="14" w:type="dxa"/>
        <w:left w:w="72" w:type="dxa"/>
        <w:bottom w:w="14" w:type="dxa"/>
        <w:right w:w="72"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top w:w="14" w:type="dxa"/>
        <w:left w:w="72" w:type="dxa"/>
        <w:bottom w:w="14" w:type="dxa"/>
        <w:right w:w="72" w:type="dxa"/>
      </w:tblCellMar>
    </w:tblPr>
  </w:style>
  <w:style w:type="table" w:customStyle="1" w:styleId="ae">
    <w:basedOn w:val="TableNormal"/>
    <w:tblPr>
      <w:tblStyleRowBandSize w:val="1"/>
      <w:tblStyleColBandSize w:val="1"/>
      <w:tblCellMar>
        <w:top w:w="14" w:type="dxa"/>
        <w:left w:w="72" w:type="dxa"/>
        <w:bottom w:w="14" w:type="dxa"/>
        <w:right w:w="72" w:type="dxa"/>
      </w:tblCellMar>
    </w:tblPr>
  </w:style>
  <w:style w:type="table" w:customStyle="1" w:styleId="af">
    <w:basedOn w:val="TableNormal"/>
    <w:tblPr>
      <w:tblStyleRowBandSize w:val="1"/>
      <w:tblStyleColBandSize w:val="1"/>
      <w:tblCellMar>
        <w:top w:w="14" w:type="dxa"/>
        <w:left w:w="72" w:type="dxa"/>
        <w:bottom w:w="14" w:type="dxa"/>
        <w:right w:w="72" w:type="dxa"/>
      </w:tblCellMar>
    </w:tblPr>
  </w:style>
  <w:style w:type="table" w:customStyle="1" w:styleId="af0">
    <w:basedOn w:val="TableNormal"/>
    <w:tblPr>
      <w:tblStyleRowBandSize w:val="1"/>
      <w:tblStyleColBandSize w:val="1"/>
      <w:tblCellMar>
        <w:top w:w="14" w:type="dxa"/>
        <w:left w:w="72" w:type="dxa"/>
        <w:bottom w:w="14" w:type="dxa"/>
        <w:right w:w="72"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14" w:type="dxa"/>
        <w:left w:w="72" w:type="dxa"/>
        <w:bottom w:w="14" w:type="dxa"/>
        <w:right w:w="72" w:type="dxa"/>
      </w:tblCellMar>
    </w:tblPr>
  </w:style>
  <w:style w:type="table" w:customStyle="1" w:styleId="af3">
    <w:basedOn w:val="TableNormal"/>
    <w:tblPr>
      <w:tblStyleRowBandSize w:val="1"/>
      <w:tblStyleColBandSize w:val="1"/>
      <w:tblCellMar>
        <w:top w:w="14" w:type="dxa"/>
        <w:left w:w="72" w:type="dxa"/>
        <w:bottom w:w="14" w:type="dxa"/>
        <w:right w:w="72" w:type="dxa"/>
      </w:tblCellMar>
    </w:tblPr>
  </w:style>
  <w:style w:type="table" w:customStyle="1" w:styleId="af4">
    <w:basedOn w:val="TableNormal"/>
    <w:tblPr>
      <w:tblStyleRowBandSize w:val="1"/>
      <w:tblStyleColBandSize w:val="1"/>
      <w:tblCellMar>
        <w:top w:w="14" w:type="dxa"/>
        <w:left w:w="72" w:type="dxa"/>
        <w:bottom w:w="14" w:type="dxa"/>
        <w:right w:w="72" w:type="dxa"/>
      </w:tblCellMar>
    </w:tblPr>
  </w:style>
  <w:style w:type="table" w:customStyle="1" w:styleId="af5">
    <w:basedOn w:val="TableNormal"/>
    <w:tblPr>
      <w:tblStyleRowBandSize w:val="1"/>
      <w:tblStyleColBandSize w:val="1"/>
      <w:tblCellMar>
        <w:top w:w="14" w:type="dxa"/>
        <w:left w:w="72" w:type="dxa"/>
        <w:bottom w:w="14" w:type="dxa"/>
        <w:right w:w="72" w:type="dxa"/>
      </w:tblCellMar>
    </w:tblPr>
  </w:style>
  <w:style w:type="table" w:customStyle="1" w:styleId="af6">
    <w:basedOn w:val="TableNormal"/>
    <w:tblPr>
      <w:tblStyleRowBandSize w:val="1"/>
      <w:tblStyleColBandSize w:val="1"/>
      <w:tblCellMar>
        <w:top w:w="14" w:type="dxa"/>
        <w:left w:w="72" w:type="dxa"/>
        <w:bottom w:w="14" w:type="dxa"/>
        <w:right w:w="72" w:type="dxa"/>
      </w:tblCellMar>
    </w:tblPr>
  </w:style>
  <w:style w:type="table" w:customStyle="1" w:styleId="af7">
    <w:basedOn w:val="TableNormal"/>
    <w:tblPr>
      <w:tblStyleRowBandSize w:val="1"/>
      <w:tblStyleColBandSize w:val="1"/>
      <w:tblCellMar>
        <w:top w:w="14" w:type="dxa"/>
        <w:left w:w="72" w:type="dxa"/>
        <w:bottom w:w="14" w:type="dxa"/>
        <w:right w:w="72" w:type="dxa"/>
      </w:tblCellMar>
    </w:tblPr>
  </w:style>
  <w:style w:type="table" w:customStyle="1" w:styleId="af8">
    <w:basedOn w:val="TableNormal"/>
    <w:tblPr>
      <w:tblStyleRowBandSize w:val="1"/>
      <w:tblStyleColBandSize w:val="1"/>
      <w:tblCellMar>
        <w:top w:w="14" w:type="dxa"/>
        <w:left w:w="72" w:type="dxa"/>
        <w:bottom w:w="14" w:type="dxa"/>
        <w:right w:w="72" w:type="dxa"/>
      </w:tblCellMar>
    </w:tblPr>
  </w:style>
  <w:style w:type="table" w:customStyle="1" w:styleId="af9">
    <w:basedOn w:val="TableNormal"/>
    <w:tblPr>
      <w:tblStyleRowBandSize w:val="1"/>
      <w:tblStyleColBandSize w:val="1"/>
      <w:tblCellMar>
        <w:top w:w="14" w:type="dxa"/>
        <w:left w:w="72" w:type="dxa"/>
        <w:bottom w:w="14" w:type="dxa"/>
        <w:right w:w="72" w:type="dxa"/>
      </w:tblCellMar>
    </w:tblPr>
  </w:style>
  <w:style w:type="table" w:customStyle="1" w:styleId="afa">
    <w:basedOn w:val="TableNormal"/>
    <w:tblPr>
      <w:tblStyleRowBandSize w:val="1"/>
      <w:tblStyleColBandSize w:val="1"/>
      <w:tblCellMar>
        <w:top w:w="14" w:type="dxa"/>
        <w:left w:w="72" w:type="dxa"/>
        <w:bottom w:w="14" w:type="dxa"/>
        <w:right w:w="72" w:type="dxa"/>
      </w:tblCellMar>
    </w:tblPr>
  </w:style>
  <w:style w:type="table" w:customStyle="1" w:styleId="afb">
    <w:basedOn w:val="TableNormal"/>
    <w:tblPr>
      <w:tblStyleRowBandSize w:val="1"/>
      <w:tblStyleColBandSize w:val="1"/>
      <w:tblCellMar>
        <w:top w:w="14" w:type="dxa"/>
        <w:left w:w="72" w:type="dxa"/>
        <w:bottom w:w="14" w:type="dxa"/>
        <w:right w:w="72" w:type="dxa"/>
      </w:tblCellMar>
    </w:tblPr>
  </w:style>
  <w:style w:type="table" w:customStyle="1" w:styleId="afc">
    <w:basedOn w:val="TableNormal"/>
    <w:tblPr>
      <w:tblStyleRowBandSize w:val="1"/>
      <w:tblStyleColBandSize w:val="1"/>
      <w:tblCellMar>
        <w:top w:w="14" w:type="dxa"/>
        <w:left w:w="72" w:type="dxa"/>
        <w:bottom w:w="14" w:type="dxa"/>
        <w:right w:w="72" w:type="dxa"/>
      </w:tblCellMar>
    </w:tblPr>
  </w:style>
  <w:style w:type="table" w:customStyle="1" w:styleId="afd">
    <w:basedOn w:val="TableNormal"/>
    <w:tblPr>
      <w:tblStyleRowBandSize w:val="1"/>
      <w:tblStyleColBandSize w:val="1"/>
      <w:tblCellMar>
        <w:top w:w="14" w:type="dxa"/>
        <w:left w:w="72" w:type="dxa"/>
        <w:bottom w:w="14" w:type="dxa"/>
        <w:right w:w="72"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top w:w="14" w:type="dxa"/>
        <w:left w:w="72" w:type="dxa"/>
        <w:bottom w:w="14" w:type="dxa"/>
        <w:right w:w="72" w:type="dxa"/>
      </w:tblCellMar>
    </w:tblPr>
  </w:style>
  <w:style w:type="table" w:customStyle="1" w:styleId="aff0">
    <w:basedOn w:val="TableNormal"/>
    <w:tblPr>
      <w:tblStyleRowBandSize w:val="1"/>
      <w:tblStyleColBandSize w:val="1"/>
      <w:tblCellMar>
        <w:top w:w="14" w:type="dxa"/>
        <w:left w:w="72" w:type="dxa"/>
        <w:bottom w:w="14" w:type="dxa"/>
        <w:right w:w="72"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top w:w="14" w:type="dxa"/>
        <w:left w:w="72" w:type="dxa"/>
        <w:bottom w:w="14" w:type="dxa"/>
        <w:right w:w="72" w:type="dxa"/>
      </w:tblCellMar>
    </w:tblPr>
  </w:style>
  <w:style w:type="table" w:customStyle="1" w:styleId="aff3">
    <w:basedOn w:val="TableNormal"/>
    <w:tblPr>
      <w:tblStyleRowBandSize w:val="1"/>
      <w:tblStyleColBandSize w:val="1"/>
      <w:tblCellMar>
        <w:top w:w="14" w:type="dxa"/>
        <w:left w:w="72" w:type="dxa"/>
        <w:bottom w:w="14" w:type="dxa"/>
        <w:right w:w="72" w:type="dxa"/>
      </w:tblCellMar>
    </w:tblPr>
  </w:style>
  <w:style w:type="table" w:customStyle="1" w:styleId="aff4">
    <w:basedOn w:val="TableNormal"/>
    <w:tblPr>
      <w:tblStyleRowBandSize w:val="1"/>
      <w:tblStyleColBandSize w:val="1"/>
      <w:tblCellMar>
        <w:top w:w="14" w:type="dxa"/>
        <w:left w:w="72" w:type="dxa"/>
        <w:bottom w:w="14" w:type="dxa"/>
        <w:right w:w="72"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top w:w="14" w:type="dxa"/>
        <w:left w:w="72" w:type="dxa"/>
        <w:bottom w:w="14" w:type="dxa"/>
        <w:right w:w="72"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top w:w="14" w:type="dxa"/>
        <w:left w:w="72" w:type="dxa"/>
        <w:bottom w:w="14" w:type="dxa"/>
        <w:right w:w="72" w:type="dxa"/>
      </w:tblCellMar>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tblPr>
      <w:tblStyleRowBandSize w:val="1"/>
      <w:tblStyleColBandSize w:val="1"/>
      <w:tblCellMar>
        <w:top w:w="14" w:type="dxa"/>
        <w:left w:w="72" w:type="dxa"/>
        <w:bottom w:w="14" w:type="dxa"/>
        <w:right w:w="72" w:type="dxa"/>
      </w:tblCellMar>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tblPr>
      <w:tblStyleRowBandSize w:val="1"/>
      <w:tblStyleColBandSize w:val="1"/>
      <w:tblCellMar>
        <w:top w:w="14" w:type="dxa"/>
        <w:left w:w="72" w:type="dxa"/>
        <w:bottom w:w="14" w:type="dxa"/>
        <w:right w:w="72" w:type="dxa"/>
      </w:tblCellMar>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tblPr>
      <w:tblStyleRowBandSize w:val="1"/>
      <w:tblStyleColBandSize w:val="1"/>
      <w:tblCellMar>
        <w:top w:w="14" w:type="dxa"/>
        <w:left w:w="72" w:type="dxa"/>
        <w:bottom w:w="14" w:type="dxa"/>
        <w:right w:w="72" w:type="dxa"/>
      </w:tblCellMar>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top w:w="14" w:type="dxa"/>
        <w:left w:w="72" w:type="dxa"/>
        <w:bottom w:w="14" w:type="dxa"/>
        <w:right w:w="72" w:type="dxa"/>
      </w:tblCellMar>
    </w:tblPr>
  </w:style>
  <w:style w:type="table" w:customStyle="1" w:styleId="afff2">
    <w:basedOn w:val="TableNormal"/>
    <w:tblPr>
      <w:tblStyleRowBandSize w:val="1"/>
      <w:tblStyleColBandSize w:val="1"/>
      <w:tblCellMar>
        <w:top w:w="14" w:type="dxa"/>
        <w:left w:w="72" w:type="dxa"/>
        <w:bottom w:w="14" w:type="dxa"/>
        <w:right w:w="72" w:type="dxa"/>
      </w:tblCellMar>
    </w:tblPr>
  </w:style>
  <w:style w:type="table" w:customStyle="1" w:styleId="afff3">
    <w:basedOn w:val="TableNormal"/>
    <w:tblPr>
      <w:tblStyleRowBandSize w:val="1"/>
      <w:tblStyleColBandSize w:val="1"/>
      <w:tblCellMar>
        <w:top w:w="14" w:type="dxa"/>
        <w:left w:w="72" w:type="dxa"/>
        <w:bottom w:w="14" w:type="dxa"/>
        <w:right w:w="72"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top w:w="14" w:type="dxa"/>
        <w:left w:w="72" w:type="dxa"/>
        <w:bottom w:w="14" w:type="dxa"/>
        <w:right w:w="72" w:type="dxa"/>
      </w:tblCellMar>
    </w:tblPr>
  </w:style>
  <w:style w:type="table" w:customStyle="1" w:styleId="afff6">
    <w:basedOn w:val="TableNormal"/>
    <w:tblPr>
      <w:tblStyleRowBandSize w:val="1"/>
      <w:tblStyleColBandSize w:val="1"/>
      <w:tblCellMar>
        <w:top w:w="14" w:type="dxa"/>
        <w:left w:w="72" w:type="dxa"/>
        <w:bottom w:w="14" w:type="dxa"/>
        <w:right w:w="72" w:type="dxa"/>
      </w:tblCellMar>
    </w:tblPr>
  </w:style>
  <w:style w:type="table" w:customStyle="1" w:styleId="afff7">
    <w:basedOn w:val="TableNormal"/>
    <w:tblPr>
      <w:tblStyleRowBandSize w:val="1"/>
      <w:tblStyleColBandSize w:val="1"/>
      <w:tblCellMar>
        <w:top w:w="14" w:type="dxa"/>
        <w:left w:w="72" w:type="dxa"/>
        <w:bottom w:w="14" w:type="dxa"/>
        <w:right w:w="72"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top w:w="14" w:type="dxa"/>
        <w:left w:w="72" w:type="dxa"/>
        <w:bottom w:w="14" w:type="dxa"/>
        <w:right w:w="72" w:type="dxa"/>
      </w:tblCellMar>
    </w:tblPr>
  </w:style>
  <w:style w:type="table" w:customStyle="1" w:styleId="afffa">
    <w:basedOn w:val="TableNormal"/>
    <w:tblPr>
      <w:tblStyleRowBandSize w:val="1"/>
      <w:tblStyleColBandSize w:val="1"/>
      <w:tblCellMar>
        <w:top w:w="14" w:type="dxa"/>
        <w:left w:w="72" w:type="dxa"/>
        <w:bottom w:w="14" w:type="dxa"/>
        <w:right w:w="72" w:type="dxa"/>
      </w:tblCellMar>
    </w:tblPr>
  </w:style>
  <w:style w:type="table" w:customStyle="1" w:styleId="afffb">
    <w:basedOn w:val="TableNormal"/>
    <w:tblPr>
      <w:tblStyleRowBandSize w:val="1"/>
      <w:tblStyleColBandSize w:val="1"/>
      <w:tblCellMar>
        <w:top w:w="14" w:type="dxa"/>
        <w:left w:w="72" w:type="dxa"/>
        <w:bottom w:w="14" w:type="dxa"/>
        <w:right w:w="72" w:type="dxa"/>
      </w:tblCellMar>
    </w:tblPr>
  </w:style>
  <w:style w:type="table" w:customStyle="1" w:styleId="afffc">
    <w:basedOn w:val="TableNormal"/>
    <w:tblPr>
      <w:tblStyleRowBandSize w:val="1"/>
      <w:tblStyleColBandSize w:val="1"/>
      <w:tblCellMar>
        <w:left w:w="115" w:type="dxa"/>
        <w:right w:w="115" w:type="dxa"/>
      </w:tblCellMar>
    </w:tblPr>
  </w:style>
  <w:style w:type="paragraph" w:styleId="TOC4">
    <w:name w:val="toc 4"/>
    <w:basedOn w:val="Normal"/>
    <w:next w:val="Normal"/>
    <w:autoRedefine/>
    <w:uiPriority w:val="39"/>
    <w:unhideWhenUsed/>
    <w:rsid w:val="00B84708"/>
    <w:pPr>
      <w:spacing w:after="100"/>
      <w:ind w:left="660"/>
    </w:p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top w:w="14" w:type="dxa"/>
        <w:left w:w="72" w:type="dxa"/>
        <w:bottom w:w="14" w:type="dxa"/>
        <w:right w:w="72" w:type="dxa"/>
      </w:tblCellMar>
    </w:tblPr>
  </w:style>
  <w:style w:type="table" w:customStyle="1" w:styleId="affff0">
    <w:basedOn w:val="TableNormal"/>
    <w:tblPr>
      <w:tblStyleRowBandSize w:val="1"/>
      <w:tblStyleColBandSize w:val="1"/>
      <w:tblCellMar>
        <w:top w:w="14" w:type="dxa"/>
        <w:left w:w="72" w:type="dxa"/>
        <w:bottom w:w="14" w:type="dxa"/>
        <w:right w:w="72" w:type="dxa"/>
      </w:tblCellMar>
    </w:tblPr>
  </w:style>
  <w:style w:type="table" w:customStyle="1" w:styleId="affff1">
    <w:basedOn w:val="TableNormal"/>
    <w:tblPr>
      <w:tblStyleRowBandSize w:val="1"/>
      <w:tblStyleColBandSize w:val="1"/>
      <w:tblCellMar>
        <w:top w:w="14" w:type="dxa"/>
        <w:left w:w="72" w:type="dxa"/>
        <w:bottom w:w="14" w:type="dxa"/>
        <w:right w:w="72"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top w:w="14" w:type="dxa"/>
        <w:left w:w="72" w:type="dxa"/>
        <w:bottom w:w="14" w:type="dxa"/>
        <w:right w:w="72"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top w:w="14" w:type="dxa"/>
        <w:left w:w="72" w:type="dxa"/>
        <w:bottom w:w="14" w:type="dxa"/>
        <w:right w:w="72"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top w:w="14" w:type="dxa"/>
        <w:left w:w="72" w:type="dxa"/>
        <w:bottom w:w="14" w:type="dxa"/>
        <w:right w:w="72"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top w:w="14" w:type="dxa"/>
        <w:left w:w="72" w:type="dxa"/>
        <w:bottom w:w="14" w:type="dxa"/>
        <w:right w:w="72"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top w:w="14" w:type="dxa"/>
        <w:left w:w="72" w:type="dxa"/>
        <w:bottom w:w="14" w:type="dxa"/>
        <w:right w:w="72"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top w:w="14" w:type="dxa"/>
        <w:left w:w="72" w:type="dxa"/>
        <w:bottom w:w="14" w:type="dxa"/>
        <w:right w:w="72" w:type="dxa"/>
      </w:tblCellMar>
    </w:tblPr>
  </w:style>
  <w:style w:type="table" w:customStyle="1" w:styleId="afffff">
    <w:basedOn w:val="TableNormal"/>
    <w:tblPr>
      <w:tblStyleRowBandSize w:val="1"/>
      <w:tblStyleColBandSize w:val="1"/>
      <w:tblCellMar>
        <w:top w:w="14" w:type="dxa"/>
        <w:left w:w="72" w:type="dxa"/>
        <w:bottom w:w="14" w:type="dxa"/>
        <w:right w:w="72" w:type="dxa"/>
      </w:tblCellMar>
    </w:tblPr>
  </w:style>
  <w:style w:type="table" w:customStyle="1" w:styleId="afffff0">
    <w:basedOn w:val="TableNormal"/>
    <w:tblPr>
      <w:tblStyleRowBandSize w:val="1"/>
      <w:tblStyleColBandSize w:val="1"/>
      <w:tblCellMar>
        <w:top w:w="14" w:type="dxa"/>
        <w:left w:w="72" w:type="dxa"/>
        <w:bottom w:w="14" w:type="dxa"/>
        <w:right w:w="72" w:type="dxa"/>
      </w:tblCellMar>
    </w:tblPr>
  </w:style>
  <w:style w:type="table" w:customStyle="1" w:styleId="afffff1">
    <w:basedOn w:val="TableNormal"/>
    <w:tblPr>
      <w:tblStyleRowBandSize w:val="1"/>
      <w:tblStyleColBandSize w:val="1"/>
      <w:tblCellMar>
        <w:top w:w="14" w:type="dxa"/>
        <w:left w:w="72" w:type="dxa"/>
        <w:bottom w:w="14" w:type="dxa"/>
        <w:right w:w="72" w:type="dxa"/>
      </w:tblCellMar>
    </w:tblPr>
  </w:style>
  <w:style w:type="table" w:customStyle="1" w:styleId="afffff2">
    <w:basedOn w:val="TableNormal"/>
    <w:tblPr>
      <w:tblStyleRowBandSize w:val="1"/>
      <w:tblStyleColBandSize w:val="1"/>
      <w:tblCellMar>
        <w:top w:w="14" w:type="dxa"/>
        <w:left w:w="72" w:type="dxa"/>
        <w:bottom w:w="14" w:type="dxa"/>
        <w:right w:w="72" w:type="dxa"/>
      </w:tblCellMar>
    </w:tblPr>
  </w:style>
  <w:style w:type="table" w:customStyle="1" w:styleId="afffff3">
    <w:basedOn w:val="TableNormal"/>
    <w:tblPr>
      <w:tblStyleRowBandSize w:val="1"/>
      <w:tblStyleColBandSize w:val="1"/>
      <w:tblCellMar>
        <w:top w:w="14" w:type="dxa"/>
        <w:left w:w="72" w:type="dxa"/>
        <w:bottom w:w="14" w:type="dxa"/>
        <w:right w:w="72" w:type="dxa"/>
      </w:tblCellMar>
    </w:tblPr>
  </w:style>
  <w:style w:type="table" w:customStyle="1" w:styleId="afffff4">
    <w:basedOn w:val="TableNormal"/>
    <w:tblPr>
      <w:tblStyleRowBandSize w:val="1"/>
      <w:tblStyleColBandSize w:val="1"/>
      <w:tblCellMar>
        <w:top w:w="14" w:type="dxa"/>
        <w:left w:w="72" w:type="dxa"/>
        <w:bottom w:w="14" w:type="dxa"/>
        <w:right w:w="72" w:type="dxa"/>
      </w:tblCellMar>
    </w:tblPr>
  </w:style>
  <w:style w:type="table" w:customStyle="1" w:styleId="afffff5">
    <w:basedOn w:val="TableNormal"/>
    <w:tblPr>
      <w:tblStyleRowBandSize w:val="1"/>
      <w:tblStyleColBandSize w:val="1"/>
      <w:tblCellMar>
        <w:top w:w="14" w:type="dxa"/>
        <w:left w:w="72" w:type="dxa"/>
        <w:bottom w:w="14" w:type="dxa"/>
        <w:right w:w="72" w:type="dxa"/>
      </w:tblCellMar>
    </w:tblPr>
  </w:style>
  <w:style w:type="table" w:customStyle="1" w:styleId="afffff6">
    <w:basedOn w:val="TableNormal"/>
    <w:tblPr>
      <w:tblStyleRowBandSize w:val="1"/>
      <w:tblStyleColBandSize w:val="1"/>
      <w:tblCellMar>
        <w:top w:w="14" w:type="dxa"/>
        <w:left w:w="72" w:type="dxa"/>
        <w:bottom w:w="14" w:type="dxa"/>
        <w:right w:w="72" w:type="dxa"/>
      </w:tblCellMar>
    </w:tblPr>
  </w:style>
  <w:style w:type="table" w:customStyle="1" w:styleId="afffff7">
    <w:basedOn w:val="TableNormal"/>
    <w:tblPr>
      <w:tblStyleRowBandSize w:val="1"/>
      <w:tblStyleColBandSize w:val="1"/>
      <w:tblCellMar>
        <w:top w:w="14" w:type="dxa"/>
        <w:left w:w="72" w:type="dxa"/>
        <w:bottom w:w="14" w:type="dxa"/>
        <w:right w:w="72" w:type="dxa"/>
      </w:tblCellMar>
    </w:tblPr>
  </w:style>
  <w:style w:type="table" w:customStyle="1" w:styleId="afffff8">
    <w:basedOn w:val="TableNormal"/>
    <w:tblPr>
      <w:tblStyleRowBandSize w:val="1"/>
      <w:tblStyleColBandSize w:val="1"/>
      <w:tblCellMar>
        <w:top w:w="14" w:type="dxa"/>
        <w:left w:w="72" w:type="dxa"/>
        <w:bottom w:w="14" w:type="dxa"/>
        <w:right w:w="72" w:type="dxa"/>
      </w:tblCellMar>
    </w:tblPr>
  </w:style>
  <w:style w:type="table" w:customStyle="1" w:styleId="afffff9">
    <w:basedOn w:val="TableNormal"/>
    <w:tblPr>
      <w:tblStyleRowBandSize w:val="1"/>
      <w:tblStyleColBandSize w:val="1"/>
      <w:tblCellMar>
        <w:top w:w="14" w:type="dxa"/>
        <w:left w:w="72" w:type="dxa"/>
        <w:bottom w:w="14" w:type="dxa"/>
        <w:right w:w="72"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CellMar>
        <w:top w:w="14" w:type="dxa"/>
        <w:left w:w="115" w:type="dxa"/>
        <w:bottom w:w="14"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top w:w="14" w:type="dxa"/>
        <w:left w:w="72" w:type="dxa"/>
        <w:bottom w:w="14" w:type="dxa"/>
        <w:right w:w="72" w:type="dxa"/>
      </w:tblCellMar>
    </w:tblPr>
  </w:style>
  <w:style w:type="table" w:customStyle="1" w:styleId="affffff1">
    <w:basedOn w:val="TableNormal"/>
    <w:tblPr>
      <w:tblStyleRowBandSize w:val="1"/>
      <w:tblStyleColBandSize w:val="1"/>
      <w:tblCellMar>
        <w:top w:w="14" w:type="dxa"/>
        <w:left w:w="72" w:type="dxa"/>
        <w:bottom w:w="14" w:type="dxa"/>
        <w:right w:w="72" w:type="dxa"/>
      </w:tblCellMar>
    </w:tblPr>
  </w:style>
  <w:style w:type="table" w:customStyle="1" w:styleId="affffff2">
    <w:basedOn w:val="TableNormal"/>
    <w:tblPr>
      <w:tblStyleRowBandSize w:val="1"/>
      <w:tblStyleColBandSize w:val="1"/>
      <w:tblCellMar>
        <w:top w:w="14" w:type="dxa"/>
        <w:left w:w="72" w:type="dxa"/>
        <w:bottom w:w="14" w:type="dxa"/>
        <w:right w:w="72" w:type="dxa"/>
      </w:tblCellMar>
    </w:tblPr>
  </w:style>
  <w:style w:type="table" w:customStyle="1" w:styleId="affffff3">
    <w:basedOn w:val="TableNormal"/>
    <w:tblPr>
      <w:tblStyleRowBandSize w:val="1"/>
      <w:tblStyleColBandSize w:val="1"/>
      <w:tblCellMar>
        <w:top w:w="14" w:type="dxa"/>
        <w:left w:w="72" w:type="dxa"/>
        <w:bottom w:w="14" w:type="dxa"/>
        <w:right w:w="72" w:type="dxa"/>
      </w:tblCellMar>
    </w:tblPr>
  </w:style>
  <w:style w:type="table" w:customStyle="1" w:styleId="affffff4">
    <w:basedOn w:val="TableNormal"/>
    <w:tblPr>
      <w:tblStyleRowBandSize w:val="1"/>
      <w:tblStyleColBandSize w:val="1"/>
      <w:tblCellMar>
        <w:top w:w="14" w:type="dxa"/>
        <w:left w:w="72" w:type="dxa"/>
        <w:bottom w:w="14" w:type="dxa"/>
        <w:right w:w="72" w:type="dxa"/>
      </w:tblCellMar>
    </w:tblPr>
  </w:style>
  <w:style w:type="table" w:customStyle="1" w:styleId="affffff5">
    <w:basedOn w:val="TableNormal"/>
    <w:tblPr>
      <w:tblStyleRowBandSize w:val="1"/>
      <w:tblStyleColBandSize w:val="1"/>
      <w:tblCellMar>
        <w:top w:w="14" w:type="dxa"/>
        <w:left w:w="72" w:type="dxa"/>
        <w:bottom w:w="14" w:type="dxa"/>
        <w:right w:w="72" w:type="dxa"/>
      </w:tblCellMar>
    </w:tblPr>
  </w:style>
  <w:style w:type="table" w:customStyle="1" w:styleId="affffff6">
    <w:basedOn w:val="TableNormal"/>
    <w:tblPr>
      <w:tblStyleRowBandSize w:val="1"/>
      <w:tblStyleColBandSize w:val="1"/>
      <w:tblCellMar>
        <w:top w:w="14" w:type="dxa"/>
        <w:left w:w="72" w:type="dxa"/>
        <w:bottom w:w="14" w:type="dxa"/>
        <w:right w:w="72" w:type="dxa"/>
      </w:tblCellMar>
    </w:tblPr>
  </w:style>
  <w:style w:type="table" w:customStyle="1" w:styleId="affffff7">
    <w:basedOn w:val="TableNormal"/>
    <w:tblPr>
      <w:tblStyleRowBandSize w:val="1"/>
      <w:tblStyleColBandSize w:val="1"/>
      <w:tblCellMar>
        <w:top w:w="14" w:type="dxa"/>
        <w:left w:w="72" w:type="dxa"/>
        <w:bottom w:w="14" w:type="dxa"/>
        <w:right w:w="72" w:type="dxa"/>
      </w:tblCellMar>
    </w:tblPr>
  </w:style>
  <w:style w:type="table" w:customStyle="1" w:styleId="affffff8">
    <w:basedOn w:val="TableNormal"/>
    <w:tblPr>
      <w:tblStyleRowBandSize w:val="1"/>
      <w:tblStyleColBandSize w:val="1"/>
      <w:tblCellMar>
        <w:top w:w="14" w:type="dxa"/>
        <w:left w:w="72" w:type="dxa"/>
        <w:bottom w:w="14" w:type="dxa"/>
        <w:right w:w="72"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top w:w="14" w:type="dxa"/>
        <w:left w:w="72" w:type="dxa"/>
        <w:bottom w:w="14" w:type="dxa"/>
        <w:right w:w="72" w:type="dxa"/>
      </w:tblCellMar>
    </w:tblPr>
  </w:style>
  <w:style w:type="table" w:customStyle="1" w:styleId="affffffb">
    <w:basedOn w:val="TableNormal"/>
    <w:tblPr>
      <w:tblStyleRowBandSize w:val="1"/>
      <w:tblStyleColBandSize w:val="1"/>
      <w:tblCellMar>
        <w:top w:w="14" w:type="dxa"/>
        <w:left w:w="72" w:type="dxa"/>
        <w:bottom w:w="14" w:type="dxa"/>
        <w:right w:w="72" w:type="dxa"/>
      </w:tblCellMar>
    </w:tblPr>
  </w:style>
  <w:style w:type="table" w:customStyle="1" w:styleId="affffffc">
    <w:basedOn w:val="TableNormal"/>
    <w:tblPr>
      <w:tblStyleRowBandSize w:val="1"/>
      <w:tblStyleColBandSize w:val="1"/>
      <w:tblCellMar>
        <w:top w:w="14" w:type="dxa"/>
        <w:left w:w="72" w:type="dxa"/>
        <w:bottom w:w="14" w:type="dxa"/>
        <w:right w:w="72"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top w:w="14" w:type="dxa"/>
        <w:left w:w="72" w:type="dxa"/>
        <w:bottom w:w="14" w:type="dxa"/>
        <w:right w:w="72" w:type="dxa"/>
      </w:tblCellMar>
    </w:tblPr>
  </w:style>
  <w:style w:type="table" w:customStyle="1" w:styleId="afffffff">
    <w:basedOn w:val="TableNormal"/>
    <w:tblPr>
      <w:tblStyleRowBandSize w:val="1"/>
      <w:tblStyleColBandSize w:val="1"/>
      <w:tblCellMar>
        <w:top w:w="14" w:type="dxa"/>
        <w:left w:w="72" w:type="dxa"/>
        <w:bottom w:w="14" w:type="dxa"/>
        <w:right w:w="72" w:type="dxa"/>
      </w:tblCellMar>
    </w:tblPr>
  </w:style>
  <w:style w:type="table" w:customStyle="1" w:styleId="afffffff0">
    <w:basedOn w:val="TableNormal"/>
    <w:tblPr>
      <w:tblStyleRowBandSize w:val="1"/>
      <w:tblStyleColBandSize w:val="1"/>
      <w:tblCellMar>
        <w:top w:w="14" w:type="dxa"/>
        <w:left w:w="72" w:type="dxa"/>
        <w:bottom w:w="14" w:type="dxa"/>
        <w:right w:w="72" w:type="dxa"/>
      </w:tblCellMar>
    </w:tblPr>
  </w:style>
  <w:style w:type="table" w:customStyle="1" w:styleId="afffffff1">
    <w:basedOn w:val="TableNormal"/>
    <w:tblPr>
      <w:tblStyleRowBandSize w:val="1"/>
      <w:tblStyleColBandSize w:val="1"/>
      <w:tblCellMar>
        <w:top w:w="14" w:type="dxa"/>
        <w:left w:w="72" w:type="dxa"/>
        <w:bottom w:w="14" w:type="dxa"/>
        <w:right w:w="72" w:type="dxa"/>
      </w:tblCellMar>
    </w:tblPr>
  </w:style>
  <w:style w:type="table" w:customStyle="1" w:styleId="afffffff2">
    <w:basedOn w:val="TableNormal"/>
    <w:tblPr>
      <w:tblStyleRowBandSize w:val="1"/>
      <w:tblStyleColBandSize w:val="1"/>
      <w:tblCellMar>
        <w:top w:w="14" w:type="dxa"/>
        <w:left w:w="72" w:type="dxa"/>
        <w:bottom w:w="14" w:type="dxa"/>
        <w:right w:w="72" w:type="dxa"/>
      </w:tblCellMar>
    </w:tblPr>
  </w:style>
  <w:style w:type="table" w:customStyle="1" w:styleId="afffffff3">
    <w:basedOn w:val="TableNormal"/>
    <w:tblPr>
      <w:tblStyleRowBandSize w:val="1"/>
      <w:tblStyleColBandSize w:val="1"/>
      <w:tblCellMar>
        <w:top w:w="14" w:type="dxa"/>
        <w:left w:w="72" w:type="dxa"/>
        <w:bottom w:w="14" w:type="dxa"/>
        <w:right w:w="72" w:type="dxa"/>
      </w:tblCellMar>
    </w:tblPr>
  </w:style>
  <w:style w:type="table" w:customStyle="1" w:styleId="afffffff4">
    <w:basedOn w:val="TableNormal"/>
    <w:tblPr>
      <w:tblStyleRowBandSize w:val="1"/>
      <w:tblStyleColBandSize w:val="1"/>
      <w:tblCellMar>
        <w:top w:w="14" w:type="dxa"/>
        <w:left w:w="72" w:type="dxa"/>
        <w:bottom w:w="14" w:type="dxa"/>
        <w:right w:w="72"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top w:w="14" w:type="dxa"/>
        <w:left w:w="72" w:type="dxa"/>
        <w:bottom w:w="14" w:type="dxa"/>
        <w:right w:w="72" w:type="dxa"/>
      </w:tblCellMar>
    </w:tblPr>
  </w:style>
  <w:style w:type="table" w:customStyle="1" w:styleId="afffffff7">
    <w:basedOn w:val="TableNormal"/>
    <w:tblPr>
      <w:tblStyleRowBandSize w:val="1"/>
      <w:tblStyleColBandSize w:val="1"/>
      <w:tblCellMar>
        <w:top w:w="14" w:type="dxa"/>
        <w:left w:w="72" w:type="dxa"/>
        <w:bottom w:w="14" w:type="dxa"/>
        <w:right w:w="72" w:type="dxa"/>
      </w:tblCellMar>
    </w:tblPr>
  </w:style>
  <w:style w:type="table" w:customStyle="1" w:styleId="afffffff8">
    <w:basedOn w:val="TableNormal"/>
    <w:tblPr>
      <w:tblStyleRowBandSize w:val="1"/>
      <w:tblStyleColBandSize w:val="1"/>
      <w:tblCellMar>
        <w:top w:w="14" w:type="dxa"/>
        <w:left w:w="72" w:type="dxa"/>
        <w:bottom w:w="14" w:type="dxa"/>
        <w:right w:w="72"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top w:w="14" w:type="dxa"/>
        <w:left w:w="72" w:type="dxa"/>
        <w:bottom w:w="14" w:type="dxa"/>
        <w:right w:w="72" w:type="dxa"/>
      </w:tblCellMar>
    </w:tblPr>
  </w:style>
  <w:style w:type="table" w:customStyle="1" w:styleId="afffffffb">
    <w:basedOn w:val="TableNormal"/>
    <w:tblPr>
      <w:tblStyleRowBandSize w:val="1"/>
      <w:tblStyleColBandSize w:val="1"/>
      <w:tblCellMar>
        <w:top w:w="14" w:type="dxa"/>
        <w:left w:w="72" w:type="dxa"/>
        <w:bottom w:w="14" w:type="dxa"/>
        <w:right w:w="72" w:type="dxa"/>
      </w:tblCellMar>
    </w:tblPr>
  </w:style>
  <w:style w:type="table" w:customStyle="1" w:styleId="afffffffc">
    <w:basedOn w:val="TableNormal"/>
    <w:tblPr>
      <w:tblStyleRowBandSize w:val="1"/>
      <w:tblStyleColBandSize w:val="1"/>
      <w:tblCellMar>
        <w:top w:w="14" w:type="dxa"/>
        <w:left w:w="72" w:type="dxa"/>
        <w:bottom w:w="14" w:type="dxa"/>
        <w:right w:w="72"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top w:w="14" w:type="dxa"/>
        <w:left w:w="72" w:type="dxa"/>
        <w:bottom w:w="14" w:type="dxa"/>
        <w:right w:w="72" w:type="dxa"/>
      </w:tblCellMar>
    </w:tblPr>
  </w:style>
  <w:style w:type="table" w:customStyle="1" w:styleId="affffffff">
    <w:basedOn w:val="TableNormal"/>
    <w:tblPr>
      <w:tblStyleRowBandSize w:val="1"/>
      <w:tblStyleColBandSize w:val="1"/>
      <w:tblCellMar>
        <w:top w:w="14" w:type="dxa"/>
        <w:left w:w="72" w:type="dxa"/>
        <w:bottom w:w="14" w:type="dxa"/>
        <w:right w:w="72"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top w:w="14" w:type="dxa"/>
        <w:left w:w="72" w:type="dxa"/>
        <w:bottom w:w="14" w:type="dxa"/>
        <w:right w:w="72" w:type="dxa"/>
      </w:tblCellMar>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tblPr>
      <w:tblStyleRowBandSize w:val="1"/>
      <w:tblStyleColBandSize w:val="1"/>
      <w:tblCellMar>
        <w:top w:w="14" w:type="dxa"/>
        <w:left w:w="72" w:type="dxa"/>
        <w:bottom w:w="14" w:type="dxa"/>
        <w:right w:w="72" w:type="dxa"/>
      </w:tblCellMar>
    </w:tblPr>
  </w:style>
  <w:style w:type="table" w:customStyle="1" w:styleId="affffffff4">
    <w:basedOn w:val="TableNormal"/>
    <w:tblPr>
      <w:tblStyleRowBandSize w:val="1"/>
      <w:tblStyleColBandSize w:val="1"/>
      <w:tblCellMar>
        <w:top w:w="14" w:type="dxa"/>
        <w:left w:w="72" w:type="dxa"/>
        <w:bottom w:w="14" w:type="dxa"/>
        <w:right w:w="72" w:type="dxa"/>
      </w:tblCellMar>
    </w:tblPr>
  </w:style>
  <w:style w:type="table" w:customStyle="1" w:styleId="affffffff5">
    <w:basedOn w:val="TableNormal"/>
    <w:tblPr>
      <w:tblStyleRowBandSize w:val="1"/>
      <w:tblStyleColBandSize w:val="1"/>
      <w:tblCellMar>
        <w:top w:w="14" w:type="dxa"/>
        <w:left w:w="72" w:type="dxa"/>
        <w:bottom w:w="14" w:type="dxa"/>
        <w:right w:w="72"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tblPr>
      <w:tblStyleRowBandSize w:val="1"/>
      <w:tblStyleColBandSize w:val="1"/>
      <w:tblCellMar>
        <w:left w:w="115" w:type="dxa"/>
        <w:right w:w="115" w:type="dxa"/>
      </w:tblCellMar>
    </w:tblPr>
  </w:style>
  <w:style w:type="table" w:customStyle="1" w:styleId="affffffffd">
    <w:basedOn w:val="TableNormal"/>
    <w:tblPr>
      <w:tblStyleRowBandSize w:val="1"/>
      <w:tblStyleColBandSize w:val="1"/>
      <w:tblCellMar>
        <w:left w:w="115" w:type="dxa"/>
        <w:right w:w="115" w:type="dxa"/>
      </w:tblCellMar>
    </w:tblPr>
  </w:style>
  <w:style w:type="table" w:customStyle="1" w:styleId="affffffffe">
    <w:basedOn w:val="TableNormal"/>
    <w:tblPr>
      <w:tblStyleRowBandSize w:val="1"/>
      <w:tblStyleColBandSize w:val="1"/>
      <w:tblCellMar>
        <w:left w:w="115" w:type="dxa"/>
        <w:right w:w="115" w:type="dxa"/>
      </w:tblCellMar>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left w:w="115" w:type="dxa"/>
        <w:right w:w="115" w:type="dxa"/>
      </w:tblCellMar>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tblPr>
      <w:tblStyleRowBandSize w:val="1"/>
      <w:tblStyleColBandSize w:val="1"/>
      <w:tblCellMar>
        <w:left w:w="115" w:type="dxa"/>
        <w:right w:w="115" w:type="dxa"/>
      </w:tblCellMar>
    </w:tblPr>
  </w:style>
  <w:style w:type="table" w:customStyle="1" w:styleId="afffffffff4">
    <w:basedOn w:val="TableNormal"/>
    <w:tblPr>
      <w:tblStyleRowBandSize w:val="1"/>
      <w:tblStyleColBandSize w:val="1"/>
      <w:tblCellMar>
        <w:left w:w="115" w:type="dxa"/>
        <w:right w:w="115" w:type="dxa"/>
      </w:tblCellMar>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tblPr>
      <w:tblStyleRowBandSize w:val="1"/>
      <w:tblStyleColBandSize w:val="1"/>
      <w:tblCellMar>
        <w:left w:w="115" w:type="dxa"/>
        <w:right w:w="115" w:type="dxa"/>
      </w:tblCellMar>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tblPr>
      <w:tblStyleRowBandSize w:val="1"/>
      <w:tblStyleColBandSize w:val="1"/>
      <w:tblCellMar>
        <w:left w:w="115" w:type="dxa"/>
        <w:right w:w="115" w:type="dxa"/>
      </w:tblCellMar>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tblPr>
      <w:tblStyleRowBandSize w:val="1"/>
      <w:tblStyleColBandSize w:val="1"/>
      <w:tblCellMar>
        <w:left w:w="115" w:type="dxa"/>
        <w:right w:w="115" w:type="dxa"/>
      </w:tblCellMar>
    </w:tblPr>
  </w:style>
  <w:style w:type="table" w:customStyle="1" w:styleId="afffffffffc">
    <w:basedOn w:val="TableNormal"/>
    <w:tblPr>
      <w:tblStyleRowBandSize w:val="1"/>
      <w:tblStyleColBandSize w:val="1"/>
      <w:tblCellMar>
        <w:left w:w="115" w:type="dxa"/>
        <w:right w:w="115" w:type="dxa"/>
      </w:tblCellMar>
    </w:tblPr>
  </w:style>
  <w:style w:type="table" w:customStyle="1" w:styleId="afffffffffd">
    <w:basedOn w:val="TableNormal"/>
    <w:tblPr>
      <w:tblStyleRowBandSize w:val="1"/>
      <w:tblStyleColBandSize w:val="1"/>
      <w:tblCellMar>
        <w:left w:w="115" w:type="dxa"/>
        <w:right w:w="115" w:type="dxa"/>
      </w:tblCellMar>
    </w:tblPr>
  </w:style>
  <w:style w:type="table" w:customStyle="1" w:styleId="afffffffffe">
    <w:basedOn w:val="TableNormal"/>
    <w:tblPr>
      <w:tblStyleRowBandSize w:val="1"/>
      <w:tblStyleColBandSize w:val="1"/>
      <w:tblCellMar>
        <w:left w:w="115" w:type="dxa"/>
        <w:right w:w="115"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tblPr>
      <w:tblStyleRowBandSize w:val="1"/>
      <w:tblStyleColBandSize w:val="1"/>
      <w:tblCellMar>
        <w:left w:w="115" w:type="dxa"/>
        <w:right w:w="115"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tblPr>
      <w:tblStyleRowBandSize w:val="1"/>
      <w:tblStyleColBandSize w:val="1"/>
      <w:tblCellMar>
        <w:left w:w="115" w:type="dxa"/>
        <w:right w:w="115" w:type="dxa"/>
      </w:tblCellMar>
    </w:tblPr>
  </w:style>
  <w:style w:type="table" w:customStyle="1" w:styleId="affffffffff5">
    <w:basedOn w:val="TableNormal"/>
    <w:tblPr>
      <w:tblStyleRowBandSize w:val="1"/>
      <w:tblStyleColBandSize w:val="1"/>
      <w:tblCellMar>
        <w:left w:w="115" w:type="dxa"/>
        <w:right w:w="115" w:type="dxa"/>
      </w:tblCellMar>
    </w:tblPr>
  </w:style>
  <w:style w:type="table" w:customStyle="1" w:styleId="affffffffff6">
    <w:basedOn w:val="TableNormal"/>
    <w:tblPr>
      <w:tblStyleRowBandSize w:val="1"/>
      <w:tblStyleColBandSize w:val="1"/>
      <w:tblCellMar>
        <w:left w:w="115" w:type="dxa"/>
        <w:right w:w="115" w:type="dxa"/>
      </w:tblCellMar>
    </w:tblPr>
  </w:style>
  <w:style w:type="table" w:customStyle="1" w:styleId="affffffffff7">
    <w:basedOn w:val="TableNormal"/>
    <w:tblPr>
      <w:tblStyleRowBandSize w:val="1"/>
      <w:tblStyleColBandSize w:val="1"/>
      <w:tblCellMar>
        <w:left w:w="115" w:type="dxa"/>
        <w:right w:w="115" w:type="dxa"/>
      </w:tblCellMar>
    </w:tblPr>
  </w:style>
  <w:style w:type="table" w:customStyle="1" w:styleId="affffffffff8">
    <w:basedOn w:val="TableNormal"/>
    <w:tblPr>
      <w:tblStyleRowBandSize w:val="1"/>
      <w:tblStyleColBandSize w:val="1"/>
      <w:tblCellMar>
        <w:left w:w="115" w:type="dxa"/>
        <w:right w:w="115" w:type="dxa"/>
      </w:tblCellMar>
    </w:tblPr>
  </w:style>
  <w:style w:type="table" w:customStyle="1" w:styleId="affffffffff9">
    <w:basedOn w:val="TableNormal"/>
    <w:tblPr>
      <w:tblStyleRowBandSize w:val="1"/>
      <w:tblStyleColBandSize w:val="1"/>
      <w:tblCellMar>
        <w:left w:w="115" w:type="dxa"/>
        <w:right w:w="115" w:type="dxa"/>
      </w:tblCellMar>
    </w:tblPr>
  </w:style>
  <w:style w:type="table" w:customStyle="1" w:styleId="affffffffffa">
    <w:basedOn w:val="TableNormal"/>
    <w:tblPr>
      <w:tblStyleRowBandSize w:val="1"/>
      <w:tblStyleColBandSize w:val="1"/>
      <w:tblCellMar>
        <w:left w:w="115" w:type="dxa"/>
        <w:right w:w="115" w:type="dxa"/>
      </w:tblCellMar>
    </w:tblPr>
  </w:style>
  <w:style w:type="table" w:customStyle="1" w:styleId="affffffffffb">
    <w:basedOn w:val="TableNormal"/>
    <w:tblPr>
      <w:tblStyleRowBandSize w:val="1"/>
      <w:tblStyleColBandSize w:val="1"/>
      <w:tblCellMar>
        <w:left w:w="115" w:type="dxa"/>
        <w:right w:w="115" w:type="dxa"/>
      </w:tblCellMar>
    </w:tblPr>
  </w:style>
  <w:style w:type="table" w:customStyle="1" w:styleId="affffffffffc">
    <w:basedOn w:val="TableNormal"/>
    <w:tblPr>
      <w:tblStyleRowBandSize w:val="1"/>
      <w:tblStyleColBandSize w:val="1"/>
      <w:tblCellMar>
        <w:left w:w="115" w:type="dxa"/>
        <w:right w:w="115" w:type="dxa"/>
      </w:tblCellMar>
    </w:tblPr>
  </w:style>
  <w:style w:type="table" w:customStyle="1" w:styleId="affffffffffd">
    <w:basedOn w:val="TableNormal"/>
    <w:tblPr>
      <w:tblStyleRowBandSize w:val="1"/>
      <w:tblStyleColBandSize w:val="1"/>
      <w:tblCellMar>
        <w:left w:w="115" w:type="dxa"/>
        <w:right w:w="115" w:type="dxa"/>
      </w:tblCellMar>
    </w:tblPr>
  </w:style>
  <w:style w:type="table" w:customStyle="1" w:styleId="affffffffffe">
    <w:basedOn w:val="TableNormal"/>
    <w:tblPr>
      <w:tblStyleRowBandSize w:val="1"/>
      <w:tblStyleColBandSize w:val="1"/>
      <w:tblCellMar>
        <w:left w:w="115" w:type="dxa"/>
        <w:right w:w="115" w:type="dxa"/>
      </w:tblCellMar>
    </w:tblPr>
  </w:style>
  <w:style w:type="table" w:customStyle="1" w:styleId="afffffffffff">
    <w:basedOn w:val="TableNormal"/>
    <w:tblPr>
      <w:tblStyleRowBandSize w:val="1"/>
      <w:tblStyleColBandSize w:val="1"/>
      <w:tblCellMar>
        <w:left w:w="115" w:type="dxa"/>
        <w:right w:w="115" w:type="dxa"/>
      </w:tblCellMar>
    </w:tblPr>
  </w:style>
  <w:style w:type="table" w:customStyle="1" w:styleId="afffffffffff0">
    <w:basedOn w:val="TableNormal"/>
    <w:tblPr>
      <w:tblStyleRowBandSize w:val="1"/>
      <w:tblStyleColBandSize w:val="1"/>
      <w:tblCellMar>
        <w:left w:w="115" w:type="dxa"/>
        <w:right w:w="115" w:type="dxa"/>
      </w:tblCellMar>
    </w:tblPr>
  </w:style>
  <w:style w:type="table" w:customStyle="1" w:styleId="afffffffffff1">
    <w:basedOn w:val="TableNormal"/>
    <w:tblPr>
      <w:tblStyleRowBandSize w:val="1"/>
      <w:tblStyleColBandSize w:val="1"/>
      <w:tblCellMar>
        <w:left w:w="115" w:type="dxa"/>
        <w:right w:w="115" w:type="dxa"/>
      </w:tblCellMar>
    </w:tblPr>
  </w:style>
  <w:style w:type="table" w:customStyle="1" w:styleId="afffffffffff2">
    <w:basedOn w:val="TableNormal"/>
    <w:tblPr>
      <w:tblStyleRowBandSize w:val="1"/>
      <w:tblStyleColBandSize w:val="1"/>
      <w:tblCellMar>
        <w:left w:w="115" w:type="dxa"/>
        <w:right w:w="115" w:type="dxa"/>
      </w:tblCellMar>
    </w:tblPr>
  </w:style>
  <w:style w:type="table" w:customStyle="1" w:styleId="afffffffffff3">
    <w:basedOn w:val="TableNormal"/>
    <w:tblPr>
      <w:tblStyleRowBandSize w:val="1"/>
      <w:tblStyleColBandSize w:val="1"/>
      <w:tblCellMar>
        <w:left w:w="115" w:type="dxa"/>
        <w:right w:w="115" w:type="dxa"/>
      </w:tblCellMar>
    </w:tblPr>
  </w:style>
  <w:style w:type="table" w:customStyle="1" w:styleId="afffffffffff4">
    <w:basedOn w:val="TableNormal"/>
    <w:tblPr>
      <w:tblStyleRowBandSize w:val="1"/>
      <w:tblStyleColBandSize w:val="1"/>
      <w:tblCellMar>
        <w:left w:w="115" w:type="dxa"/>
        <w:right w:w="115" w:type="dxa"/>
      </w:tblCellMar>
    </w:tblPr>
  </w:style>
  <w:style w:type="table" w:customStyle="1" w:styleId="afffffffffff5">
    <w:basedOn w:val="TableNormal"/>
    <w:tblPr>
      <w:tblStyleRowBandSize w:val="1"/>
      <w:tblStyleColBandSize w:val="1"/>
      <w:tblCellMar>
        <w:left w:w="115" w:type="dxa"/>
        <w:right w:w="115" w:type="dxa"/>
      </w:tblCellMar>
    </w:tblPr>
  </w:style>
  <w:style w:type="table" w:customStyle="1" w:styleId="afffffffffff6">
    <w:basedOn w:val="TableNormal"/>
    <w:tblPr>
      <w:tblStyleRowBandSize w:val="1"/>
      <w:tblStyleColBandSize w:val="1"/>
      <w:tblCellMar>
        <w:left w:w="115" w:type="dxa"/>
        <w:right w:w="115" w:type="dxa"/>
      </w:tblCellMar>
    </w:tblPr>
  </w:style>
  <w:style w:type="table" w:customStyle="1" w:styleId="afffffffffff7">
    <w:basedOn w:val="TableNormal"/>
    <w:tblPr>
      <w:tblStyleRowBandSize w:val="1"/>
      <w:tblStyleColBandSize w:val="1"/>
      <w:tblCellMar>
        <w:left w:w="115" w:type="dxa"/>
        <w:right w:w="115" w:type="dxa"/>
      </w:tblCellMar>
    </w:tblPr>
  </w:style>
  <w:style w:type="table" w:customStyle="1" w:styleId="afffffffffff8">
    <w:basedOn w:val="TableNormal"/>
    <w:tblPr>
      <w:tblStyleRowBandSize w:val="1"/>
      <w:tblStyleColBandSize w:val="1"/>
      <w:tblCellMar>
        <w:left w:w="115" w:type="dxa"/>
        <w:right w:w="115" w:type="dxa"/>
      </w:tblCellMar>
    </w:tblPr>
  </w:style>
  <w:style w:type="table" w:customStyle="1" w:styleId="afffffffffff9">
    <w:basedOn w:val="TableNormal"/>
    <w:tblPr>
      <w:tblStyleRowBandSize w:val="1"/>
      <w:tblStyleColBandSize w:val="1"/>
      <w:tblCellMar>
        <w:left w:w="115" w:type="dxa"/>
        <w:right w:w="115" w:type="dxa"/>
      </w:tblCellMar>
    </w:tblPr>
  </w:style>
  <w:style w:type="table" w:customStyle="1" w:styleId="afffffffffffa">
    <w:basedOn w:val="TableNormal"/>
    <w:tblPr>
      <w:tblStyleRowBandSize w:val="1"/>
      <w:tblStyleColBandSize w:val="1"/>
      <w:tblCellMar>
        <w:left w:w="115" w:type="dxa"/>
        <w:right w:w="115" w:type="dxa"/>
      </w:tblCellMar>
    </w:tblPr>
  </w:style>
  <w:style w:type="table" w:customStyle="1" w:styleId="afffffffffffb">
    <w:basedOn w:val="TableNormal"/>
    <w:tblPr>
      <w:tblStyleRowBandSize w:val="1"/>
      <w:tblStyleColBandSize w:val="1"/>
      <w:tblCellMar>
        <w:left w:w="115" w:type="dxa"/>
        <w:right w:w="115" w:type="dxa"/>
      </w:tblCellMar>
    </w:tblPr>
  </w:style>
  <w:style w:type="table" w:customStyle="1" w:styleId="afffffffffffc">
    <w:basedOn w:val="TableNormal"/>
    <w:tblPr>
      <w:tblStyleRowBandSize w:val="1"/>
      <w:tblStyleColBandSize w:val="1"/>
      <w:tblCellMar>
        <w:left w:w="115" w:type="dxa"/>
        <w:right w:w="115" w:type="dxa"/>
      </w:tblCellMar>
    </w:tblPr>
  </w:style>
  <w:style w:type="table" w:customStyle="1" w:styleId="afffffffffffd">
    <w:basedOn w:val="TableNormal"/>
    <w:tblPr>
      <w:tblStyleRowBandSize w:val="1"/>
      <w:tblStyleColBandSize w:val="1"/>
      <w:tblCellMar>
        <w:left w:w="115" w:type="dxa"/>
        <w:right w:w="115" w:type="dxa"/>
      </w:tblCellMar>
    </w:tblPr>
  </w:style>
  <w:style w:type="table" w:customStyle="1" w:styleId="afffffffffffe">
    <w:basedOn w:val="TableNormal"/>
    <w:tblPr>
      <w:tblStyleRowBandSize w:val="1"/>
      <w:tblStyleColBandSize w:val="1"/>
      <w:tblCellMar>
        <w:left w:w="115" w:type="dxa"/>
        <w:right w:w="115" w:type="dxa"/>
      </w:tblCellMar>
    </w:tblPr>
  </w:style>
  <w:style w:type="table" w:customStyle="1" w:styleId="affffffffffff">
    <w:basedOn w:val="TableNormal"/>
    <w:tblPr>
      <w:tblStyleRowBandSize w:val="1"/>
      <w:tblStyleColBandSize w:val="1"/>
      <w:tblCellMar>
        <w:left w:w="115" w:type="dxa"/>
        <w:right w:w="115"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tblPr>
      <w:tblStyleRowBandSize w:val="1"/>
      <w:tblStyleColBandSize w:val="1"/>
      <w:tblCellMar>
        <w:left w:w="115" w:type="dxa"/>
        <w:right w:w="115" w:type="dxa"/>
      </w:tblCellMar>
    </w:tblPr>
  </w:style>
  <w:style w:type="table" w:customStyle="1" w:styleId="affffffffffff2">
    <w:basedOn w:val="TableNormal"/>
    <w:tblPr>
      <w:tblStyleRowBandSize w:val="1"/>
      <w:tblStyleColBandSize w:val="1"/>
      <w:tblCellMar>
        <w:left w:w="115" w:type="dxa"/>
        <w:right w:w="115" w:type="dxa"/>
      </w:tblCellMar>
    </w:tblPr>
  </w:style>
  <w:style w:type="table" w:customStyle="1" w:styleId="affffffffffff3">
    <w:basedOn w:val="TableNormal"/>
    <w:tblPr>
      <w:tblStyleRowBandSize w:val="1"/>
      <w:tblStyleColBandSize w:val="1"/>
      <w:tblCellMar>
        <w:left w:w="115" w:type="dxa"/>
        <w:right w:w="115" w:type="dxa"/>
      </w:tblCellMar>
    </w:tblPr>
  </w:style>
  <w:style w:type="table" w:customStyle="1" w:styleId="affffffffffff4">
    <w:basedOn w:val="TableNormal"/>
    <w:tblPr>
      <w:tblStyleRowBandSize w:val="1"/>
      <w:tblStyleColBandSize w:val="1"/>
      <w:tblCellMar>
        <w:left w:w="115" w:type="dxa"/>
        <w:right w:w="115" w:type="dxa"/>
      </w:tblCellMar>
    </w:tblPr>
  </w:style>
  <w:style w:type="table" w:customStyle="1" w:styleId="affffffffffff5">
    <w:basedOn w:val="TableNormal"/>
    <w:tblPr>
      <w:tblStyleRowBandSize w:val="1"/>
      <w:tblStyleColBandSize w:val="1"/>
      <w:tblCellMar>
        <w:left w:w="115" w:type="dxa"/>
        <w:right w:w="115" w:type="dxa"/>
      </w:tblCellMar>
    </w:tblPr>
  </w:style>
  <w:style w:type="paragraph" w:customStyle="1" w:styleId="InsideCoverPage-Text">
    <w:name w:val="Inside Cover Page-Text"/>
    <w:basedOn w:val="Normal"/>
    <w:rsid w:val="007B2C52"/>
    <w:pPr>
      <w:spacing w:before="160" w:line="280" w:lineRule="exact"/>
    </w:pPr>
    <w:rPr>
      <w:rFonts w:eastAsia="Times New Roman" w:cs="Arial"/>
      <w:sz w:val="20"/>
      <w:szCs w:val="24"/>
    </w:rPr>
  </w:style>
  <w:style w:type="paragraph" w:styleId="TOC5">
    <w:name w:val="toc 5"/>
    <w:basedOn w:val="Normal"/>
    <w:next w:val="Normal"/>
    <w:autoRedefine/>
    <w:uiPriority w:val="39"/>
    <w:unhideWhenUsed/>
    <w:rsid w:val="00DA72A6"/>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DA72A6"/>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DA72A6"/>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DA72A6"/>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DA72A6"/>
    <w:pPr>
      <w:spacing w:after="100"/>
      <w:ind w:left="1760"/>
    </w:pPr>
    <w:rPr>
      <w:rFonts w:asciiTheme="minorHAnsi" w:eastAsiaTheme="minorEastAsia" w:hAnsiTheme="minorHAnsi"/>
    </w:rPr>
  </w:style>
  <w:style w:type="table" w:customStyle="1" w:styleId="Style1">
    <w:name w:val="Style1"/>
    <w:basedOn w:val="TableNormal"/>
    <w:uiPriority w:val="99"/>
    <w:rsid w:val="00402D2C"/>
    <w:pPr>
      <w:spacing w:after="0" w:line="240" w:lineRule="auto"/>
    </w:pPr>
    <w:tblPr>
      <w:tblStyleRowBandSize w:val="1"/>
    </w:tblPr>
    <w:tblStylePr w:type="band2Horz">
      <w:tblPr/>
      <w:tcPr>
        <w:shd w:val="clear" w:color="auto" w:fill="E6E7E6" w:themeFill="accent5" w:themeFillTint="33"/>
      </w:tcPr>
    </w:tblStylePr>
  </w:style>
  <w:style w:type="paragraph" w:styleId="TableofFigures">
    <w:name w:val="table of figures"/>
    <w:basedOn w:val="Normal"/>
    <w:next w:val="Normal"/>
    <w:uiPriority w:val="99"/>
    <w:unhideWhenUsed/>
    <w:rsid w:val="00FD6777"/>
    <w:pPr>
      <w:spacing w:after="0"/>
    </w:pPr>
  </w:style>
  <w:style w:type="paragraph" w:styleId="Caption">
    <w:name w:val="caption"/>
    <w:basedOn w:val="Normal"/>
    <w:next w:val="Normal"/>
    <w:uiPriority w:val="35"/>
    <w:unhideWhenUsed/>
    <w:qFormat/>
    <w:rsid w:val="001D3E8C"/>
    <w:pPr>
      <w:keepNext/>
      <w:spacing w:after="200" w:line="240" w:lineRule="auto"/>
    </w:pPr>
    <w:rPr>
      <w:i/>
      <w:iCs/>
      <w:color w:val="002F6C" w:themeColor="text2"/>
      <w:sz w:val="18"/>
      <w:szCs w:val="18"/>
    </w:rPr>
  </w:style>
  <w:style w:type="paragraph" w:customStyle="1" w:styleId="CoverSubtitleDate">
    <w:name w:val="Cover: Subtitle Date"/>
    <w:basedOn w:val="Normal"/>
    <w:next w:val="Normal"/>
    <w:qFormat/>
    <w:rsid w:val="00C87127"/>
    <w:rPr>
      <w:color w:val="002F6C" w:themeColor="text2"/>
      <w:sz w:val="28"/>
      <w:szCs w:val="28"/>
    </w:rPr>
  </w:style>
  <w:style w:type="paragraph" w:customStyle="1" w:styleId="CoverINRMSubtitle">
    <w:name w:val="Cover: INRM Subtitle"/>
    <w:basedOn w:val="Normal"/>
    <w:qFormat/>
    <w:rsid w:val="00C87127"/>
    <w:pPr>
      <w:spacing w:before="2800"/>
    </w:pPr>
    <w:rPr>
      <w:color w:val="002F6C" w:themeColor="text2"/>
      <w:sz w:val="32"/>
      <w:szCs w:val="32"/>
    </w:rPr>
  </w:style>
  <w:style w:type="character" w:customStyle="1" w:styleId="Heading5Char">
    <w:name w:val="Heading 5 Char"/>
    <w:basedOn w:val="DefaultParagraphFont"/>
    <w:link w:val="Heading5"/>
    <w:uiPriority w:val="9"/>
    <w:semiHidden/>
    <w:rsid w:val="00C87127"/>
    <w:rPr>
      <w:rFonts w:ascii="Gill Sans MT" w:eastAsia="Source Sans Pro" w:hAnsi="Gill Sans MT" w:cstheme="minorBidi"/>
      <w:i/>
      <w:iCs/>
      <w:color w:val="4D8EDC" w:themeColor="accent2" w:themeShade="BF"/>
      <w:sz w:val="20"/>
      <w:szCs w:val="20"/>
    </w:rPr>
  </w:style>
  <w:style w:type="character" w:customStyle="1" w:styleId="Heading6Char">
    <w:name w:val="Heading 6 Char"/>
    <w:basedOn w:val="DefaultParagraphFont"/>
    <w:link w:val="Heading6"/>
    <w:uiPriority w:val="9"/>
    <w:semiHidden/>
    <w:rsid w:val="00C87127"/>
    <w:rPr>
      <w:rFonts w:asciiTheme="majorHAnsi" w:eastAsia="Lato Light" w:hAnsiTheme="majorHAnsi" w:cs="Lato Light"/>
      <w:i/>
      <w:color w:val="4D8EDC" w:themeColor="accent2" w:themeShade="BF"/>
      <w:sz w:val="18"/>
      <w:szCs w:val="18"/>
    </w:rPr>
  </w:style>
  <w:style w:type="character" w:customStyle="1" w:styleId="SubtitleChar">
    <w:name w:val="Subtitle Char"/>
    <w:basedOn w:val="DefaultParagraphFont"/>
    <w:link w:val="Subtitle"/>
    <w:uiPriority w:val="11"/>
    <w:rsid w:val="00C87127"/>
    <w:rPr>
      <w:rFonts w:ascii="Gill Sans MT" w:eastAsia="Source Sans Pro" w:hAnsi="Gill Sans MT" w:cstheme="minorBidi"/>
      <w:i/>
      <w:iCs/>
      <w:color w:val="002F6C" w:themeColor="text2"/>
      <w:sz w:val="40"/>
      <w:szCs w:val="40"/>
    </w:rPr>
  </w:style>
  <w:style w:type="table" w:customStyle="1" w:styleId="Style2">
    <w:name w:val="Style2"/>
    <w:basedOn w:val="TableNormal"/>
    <w:uiPriority w:val="99"/>
    <w:rsid w:val="00C1627E"/>
    <w:pPr>
      <w:spacing w:after="0"/>
    </w:pPr>
    <w:rPr>
      <w:rFonts w:asciiTheme="minorHAnsi" w:hAnsiTheme="minorHAnsi"/>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bottom w:w="58" w:type="dxa"/>
      </w:tblCellMar>
    </w:tblPr>
  </w:style>
  <w:style w:type="table" w:customStyle="1" w:styleId="Style3">
    <w:name w:val="Style3"/>
    <w:basedOn w:val="TableNormal"/>
    <w:uiPriority w:val="99"/>
    <w:rsid w:val="00FD619E"/>
    <w:pPr>
      <w:spacing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Pr>
    <w:tcPr>
      <w:shd w:val="clear" w:color="auto" w:fill="auto"/>
    </w:tcPr>
  </w:style>
  <w:style w:type="table" w:customStyle="1" w:styleId="INRMbasetable">
    <w:name w:val="INRM base table"/>
    <w:basedOn w:val="TableNormal"/>
    <w:uiPriority w:val="99"/>
    <w:rsid w:val="007246EA"/>
    <w:pPr>
      <w:spacing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Pr>
    <w:tcPr>
      <w:shd w:val="clear" w:color="auto" w:fill="auto"/>
    </w:tcPr>
  </w:style>
  <w:style w:type="character" w:styleId="FootnoteReference">
    <w:name w:val="footnote reference"/>
    <w:aliases w:val=" BVI fnr,BVI fnr, BVI fnr Car Car,BVI fnr Car, BVI fnr Car Car Car Car,ftref,Знак сноски 1,BVI fnr Car Car,BVI fnr Car Car Car Car,16 Point,Superscript 6 Point,footnoteAsia1,Char Char,Carattere Char1, Carattere Char1,Ref,BVI fnr1 Char"/>
    <w:basedOn w:val="DefaultParagraphFont"/>
    <w:link w:val="BVIfnr1"/>
    <w:uiPriority w:val="99"/>
    <w:unhideWhenUsed/>
    <w:qFormat/>
    <w:rsid w:val="00CD7EC6"/>
    <w:rPr>
      <w:vertAlign w:val="superscript"/>
    </w:rPr>
  </w:style>
  <w:style w:type="paragraph" w:customStyle="1" w:styleId="BVIfnr1">
    <w:name w:val="BVI fnr1"/>
    <w:aliases w:val=" BVI fnr Car Car1,BVI fnr Car1, BVI fnr Car Car Car Car1, BVI fnr Car Car Car Car Char,BVI fnr Car Car1,BVI fnr Car Car Car Car1,BVI fnr Car Car Car Car Char"/>
    <w:basedOn w:val="Normal"/>
    <w:link w:val="FootnoteReference"/>
    <w:uiPriority w:val="99"/>
    <w:rsid w:val="00CD7EC6"/>
    <w:pPr>
      <w:spacing w:after="160" w:line="240" w:lineRule="exact"/>
    </w:pPr>
    <w:rPr>
      <w:rFonts w:ascii="Lato" w:eastAsia="Lato" w:hAnsi="Lato" w:cs="Lato"/>
      <w:vertAlign w:val="superscript"/>
    </w:rPr>
  </w:style>
  <w:style w:type="character" w:styleId="UnresolvedMention">
    <w:name w:val="Unresolved Mention"/>
    <w:basedOn w:val="DefaultParagraphFont"/>
    <w:uiPriority w:val="99"/>
    <w:semiHidden/>
    <w:unhideWhenUsed/>
    <w:rsid w:val="00197103"/>
    <w:rPr>
      <w:color w:val="605E5C"/>
      <w:shd w:val="clear" w:color="auto" w:fill="E1DFDD"/>
    </w:rPr>
  </w:style>
  <w:style w:type="paragraph" w:customStyle="1" w:styleId="SectionTitle">
    <w:name w:val="Section Title"/>
    <w:basedOn w:val="Heading1"/>
    <w:qFormat/>
    <w:rsid w:val="00C408C8"/>
    <w:pPr>
      <w:pBdr>
        <w:bottom w:val="single" w:sz="8" w:space="1" w:color="auto"/>
      </w:pBdr>
    </w:pPr>
    <w:rPr>
      <w:sz w:val="96"/>
      <w:szCs w:val="96"/>
    </w:rPr>
  </w:style>
  <w:style w:type="paragraph" w:customStyle="1" w:styleId="TOCSectionTitle">
    <w:name w:val="TOC Section Title"/>
    <w:basedOn w:val="TOC1"/>
    <w:qFormat/>
    <w:rsid w:val="00CF3474"/>
    <w:pPr>
      <w:pBdr>
        <w:bottom w:val="single" w:sz="4" w:space="1" w:color="auto"/>
      </w:pBdr>
      <w:tabs>
        <w:tab w:val="right" w:pos="9360"/>
      </w:tabs>
    </w:pPr>
    <w:rPr>
      <w:bCs/>
      <w:sz w:val="36"/>
    </w:rPr>
  </w:style>
  <w:style w:type="paragraph" w:customStyle="1" w:styleId="CoverModuleTitle">
    <w:name w:val="Cover: Module Title"/>
    <w:basedOn w:val="Subtitle"/>
    <w:qFormat/>
    <w:rsid w:val="005D4DF1"/>
    <w:pPr>
      <w:spacing w:after="480"/>
    </w:pPr>
    <w:rPr>
      <w:sz w:val="56"/>
      <w:szCs w:val="56"/>
    </w:rPr>
  </w:style>
  <w:style w:type="table" w:customStyle="1" w:styleId="affffffffffff6">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ffffffffffff7">
    <w:basedOn w:val="TableNormal"/>
    <w:pPr>
      <w:spacing w:after="0" w:line="240" w:lineRule="auto"/>
    </w:pPr>
    <w:tblPr>
      <w:tblStyleRowBandSize w:val="1"/>
      <w:tblStyleColBandSize w:val="1"/>
      <w:tblCellMar>
        <w:top w:w="29" w:type="dxa"/>
        <w:left w:w="115" w:type="dxa"/>
        <w:bottom w:w="29" w:type="dxa"/>
        <w:right w:w="115" w:type="dxa"/>
      </w:tblCellMar>
    </w:tblPr>
    <w:tcPr>
      <w:shd w:val="clear" w:color="auto" w:fill="auto"/>
    </w:tcPr>
  </w:style>
  <w:style w:type="table" w:customStyle="1" w:styleId="affffffffffff8">
    <w:basedOn w:val="TableNormal"/>
    <w:tblPr>
      <w:tblStyleRowBandSize w:val="1"/>
      <w:tblStyleColBandSize w:val="1"/>
      <w:tblCellMar>
        <w:top w:w="58" w:type="dxa"/>
        <w:left w:w="115" w:type="dxa"/>
        <w:bottom w:w="58" w:type="dxa"/>
        <w:right w:w="115" w:type="dxa"/>
      </w:tblCellMar>
    </w:tblPr>
  </w:style>
  <w:style w:type="table" w:customStyle="1" w:styleId="affffffffffff9">
    <w:basedOn w:val="TableNormal"/>
    <w:pPr>
      <w:spacing w:after="0" w:line="240" w:lineRule="auto"/>
    </w:pPr>
    <w:tblPr>
      <w:tblStyleRowBandSize w:val="1"/>
      <w:tblStyleColBandSize w:val="1"/>
      <w:tblCellMar>
        <w:top w:w="58" w:type="dxa"/>
        <w:left w:w="115" w:type="dxa"/>
        <w:bottom w:w="58" w:type="dxa"/>
        <w:right w:w="115" w:type="dxa"/>
      </w:tblCellMar>
    </w:tblPr>
    <w:tcPr>
      <w:shd w:val="clear" w:color="auto" w:fill="auto"/>
    </w:tcPr>
    <w:tblStylePr w:type="firstRow">
      <w:rPr>
        <w:b/>
        <w:color w:val="FFFFFF"/>
      </w:rPr>
      <w:tblPr/>
      <w:tcPr>
        <w:tcBorders>
          <w:top w:val="single" w:sz="4" w:space="0" w:color="A2C4ED"/>
          <w:left w:val="single" w:sz="4" w:space="0" w:color="A2C4ED"/>
          <w:bottom w:val="single" w:sz="4" w:space="0" w:color="A2C4ED"/>
          <w:right w:val="single" w:sz="4" w:space="0" w:color="A2C4ED"/>
          <w:insideH w:val="nil"/>
          <w:insideV w:val="nil"/>
        </w:tcBorders>
        <w:shd w:val="clear" w:color="auto" w:fill="A2C4ED"/>
      </w:tcPr>
    </w:tblStylePr>
    <w:tblStylePr w:type="lastRow">
      <w:rPr>
        <w:b/>
      </w:rPr>
      <w:tblPr/>
      <w:tcPr>
        <w:tcBorders>
          <w:top w:val="single" w:sz="4" w:space="0" w:color="A2C4ED"/>
        </w:tcBorders>
      </w:tcPr>
    </w:tblStylePr>
    <w:tblStylePr w:type="firstCol">
      <w:rPr>
        <w:b/>
      </w:rPr>
    </w:tblStylePr>
    <w:tblStylePr w:type="lastCol">
      <w:rPr>
        <w:b/>
      </w:rPr>
    </w:tblStylePr>
    <w:tblStylePr w:type="band1Vert">
      <w:tblPr/>
      <w:tcPr>
        <w:shd w:val="clear" w:color="auto" w:fill="ECF3FB"/>
      </w:tcPr>
    </w:tblStylePr>
    <w:tblStylePr w:type="band1Horz">
      <w:tblPr/>
      <w:tcPr>
        <w:shd w:val="clear" w:color="auto" w:fill="ECF3FB"/>
      </w:tcPr>
    </w:tblStylePr>
  </w:style>
  <w:style w:type="table" w:customStyle="1" w:styleId="affffffffffffa">
    <w:basedOn w:val="TableNormal"/>
    <w:tblPr>
      <w:tblStyleRowBandSize w:val="1"/>
      <w:tblStyleColBandSize w:val="1"/>
      <w:tblCellMar>
        <w:top w:w="58" w:type="dxa"/>
        <w:left w:w="115" w:type="dxa"/>
        <w:bottom w:w="58" w:type="dxa"/>
        <w:right w:w="115" w:type="dxa"/>
      </w:tblCellMar>
    </w:tblPr>
  </w:style>
  <w:style w:type="table" w:customStyle="1" w:styleId="affffffffffffb">
    <w:basedOn w:val="TableNormal"/>
    <w:tblPr>
      <w:tblStyleRowBandSize w:val="1"/>
      <w:tblStyleColBandSize w:val="1"/>
      <w:tblCellMar>
        <w:top w:w="58" w:type="dxa"/>
        <w:left w:w="115" w:type="dxa"/>
        <w:bottom w:w="58" w:type="dxa"/>
        <w:right w:w="115" w:type="dxa"/>
      </w:tblCellMar>
    </w:tblPr>
  </w:style>
  <w:style w:type="table" w:customStyle="1" w:styleId="affffffffffffc">
    <w:basedOn w:val="TableNormal"/>
    <w:tblPr>
      <w:tblStyleRowBandSize w:val="1"/>
      <w:tblStyleColBandSize w:val="1"/>
      <w:tblCellMar>
        <w:top w:w="58" w:type="dxa"/>
        <w:left w:w="115" w:type="dxa"/>
        <w:bottom w:w="58" w:type="dxa"/>
        <w:right w:w="115" w:type="dxa"/>
      </w:tblCellMar>
    </w:tblPr>
  </w:style>
  <w:style w:type="table" w:customStyle="1" w:styleId="affffffffffffd">
    <w:basedOn w:val="TableNormal"/>
    <w:tblPr>
      <w:tblStyleRowBandSize w:val="1"/>
      <w:tblStyleColBandSize w:val="1"/>
      <w:tblCellMar>
        <w:left w:w="115" w:type="dxa"/>
        <w:right w:w="115" w:type="dxa"/>
      </w:tblCellMar>
    </w:tblPr>
  </w:style>
  <w:style w:type="table" w:customStyle="1" w:styleId="affffffffffffe">
    <w:basedOn w:val="TableNormal"/>
    <w:tblPr>
      <w:tblStyleRowBandSize w:val="1"/>
      <w:tblStyleColBandSize w:val="1"/>
      <w:tblCellMar>
        <w:top w:w="58" w:type="dxa"/>
        <w:left w:w="115" w:type="dxa"/>
        <w:bottom w:w="58" w:type="dxa"/>
        <w:right w:w="115" w:type="dxa"/>
      </w:tblCellMar>
    </w:tblPr>
  </w:style>
  <w:style w:type="table" w:customStyle="1" w:styleId="afffffffffffff">
    <w:basedOn w:val="TableNormal"/>
    <w:tblPr>
      <w:tblStyleRowBandSize w:val="1"/>
      <w:tblStyleColBandSize w:val="1"/>
      <w:tblCellMar>
        <w:left w:w="115" w:type="dxa"/>
        <w:right w:w="115" w:type="dxa"/>
      </w:tblCellMar>
    </w:tblPr>
  </w:style>
  <w:style w:type="paragraph" w:customStyle="1" w:styleId="TableParagraph">
    <w:name w:val="Table Paragraph"/>
    <w:basedOn w:val="Normal"/>
    <w:uiPriority w:val="1"/>
    <w:qFormat/>
    <w:rsid w:val="00C50BA6"/>
    <w:pPr>
      <w:widowControl w:val="0"/>
      <w:autoSpaceDE w:val="0"/>
      <w:autoSpaceDN w:val="0"/>
      <w:spacing w:after="0" w:line="240" w:lineRule="auto"/>
      <w:ind w:left="115"/>
    </w:pPr>
    <w:rPr>
      <w:rFonts w:eastAsia="Gill Sans MT" w:cs="Gill Sans MT"/>
    </w:rPr>
  </w:style>
  <w:style w:type="character" w:customStyle="1" w:styleId="Heading8Char">
    <w:name w:val="Heading 8 Char"/>
    <w:basedOn w:val="DefaultParagraphFont"/>
    <w:link w:val="Heading8"/>
    <w:uiPriority w:val="9"/>
    <w:semiHidden/>
    <w:rsid w:val="000F2A47"/>
    <w:rPr>
      <w:rFonts w:asciiTheme="majorHAnsi" w:eastAsiaTheme="majorEastAsia" w:hAnsiTheme="majorHAnsi" w:cstheme="majorBidi"/>
      <w:color w:val="272727" w:themeColor="text1" w:themeTint="D8"/>
      <w:sz w:val="21"/>
      <w:szCs w:val="21"/>
    </w:rPr>
  </w:style>
  <w:style w:type="character" w:customStyle="1" w:styleId="Heading7Char">
    <w:name w:val="Heading 7 Char"/>
    <w:basedOn w:val="DefaultParagraphFont"/>
    <w:link w:val="Heading7"/>
    <w:uiPriority w:val="1"/>
    <w:rsid w:val="000F2A47"/>
    <w:rPr>
      <w:rFonts w:ascii="Gill Sans MT" w:eastAsia="Gill Sans MT" w:hAnsi="Gill Sans MT" w:cs="Gill Sans MT"/>
      <w:i/>
      <w:iCs/>
      <w:sz w:val="28"/>
      <w:szCs w:val="28"/>
    </w:rPr>
  </w:style>
  <w:style w:type="numbering" w:customStyle="1" w:styleId="NoList1">
    <w:name w:val="No List1"/>
    <w:next w:val="NoList"/>
    <w:uiPriority w:val="99"/>
    <w:semiHidden/>
    <w:unhideWhenUsed/>
    <w:rsid w:val="000F2A47"/>
  </w:style>
  <w:style w:type="paragraph" w:styleId="BodyText">
    <w:name w:val="Body Text"/>
    <w:basedOn w:val="Normal"/>
    <w:link w:val="BodyTextChar"/>
    <w:uiPriority w:val="1"/>
    <w:qFormat/>
    <w:rsid w:val="000F2A47"/>
    <w:pPr>
      <w:widowControl w:val="0"/>
      <w:autoSpaceDE w:val="0"/>
      <w:autoSpaceDN w:val="0"/>
      <w:spacing w:after="0" w:line="240" w:lineRule="auto"/>
    </w:pPr>
    <w:rPr>
      <w:rFonts w:eastAsia="Gill Sans MT" w:cs="Gill Sans MT"/>
    </w:rPr>
  </w:style>
  <w:style w:type="character" w:customStyle="1" w:styleId="BodyTextChar">
    <w:name w:val="Body Text Char"/>
    <w:basedOn w:val="DefaultParagraphFont"/>
    <w:link w:val="BodyText"/>
    <w:uiPriority w:val="1"/>
    <w:rsid w:val="000F2A47"/>
    <w:rPr>
      <w:rFonts w:ascii="Gill Sans MT" w:eastAsia="Gill Sans MT" w:hAnsi="Gill Sans MT" w:cs="Gill Sans MT"/>
    </w:rPr>
  </w:style>
  <w:style w:type="paragraph" w:customStyle="1" w:styleId="BasicParagraph">
    <w:name w:val="[Basic Paragraph]"/>
    <w:basedOn w:val="Normal"/>
    <w:uiPriority w:val="99"/>
    <w:rsid w:val="00FC4908"/>
    <w:pPr>
      <w:autoSpaceDE w:val="0"/>
      <w:autoSpaceDN w:val="0"/>
      <w:adjustRightInd w:val="0"/>
      <w:spacing w:after="270" w:line="288" w:lineRule="auto"/>
      <w:textAlignment w:val="center"/>
    </w:pPr>
    <w:rPr>
      <w:rFonts w:ascii="Gill Sans Nova Book" w:eastAsia="Lato" w:hAnsi="Gill Sans Nova Book" w:cs="Gill Sans Nova Book"/>
      <w:color w:val="000000"/>
    </w:rPr>
  </w:style>
  <w:style w:type="paragraph" w:customStyle="1" w:styleId="Contractpage-INRMheading">
    <w:name w:val="Contract page - INRM heading"/>
    <w:basedOn w:val="BasicParagraph"/>
    <w:next w:val="BasicParagraph"/>
    <w:uiPriority w:val="99"/>
    <w:rsid w:val="00FC4908"/>
    <w:pPr>
      <w:spacing w:after="90"/>
    </w:pPr>
    <w:rPr>
      <w:rFonts w:asciiTheme="minorHAnsi" w:hAnsiTheme="minorHAnsi" w:cs="Gill Sans Nova SemiBold"/>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952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biodiversitylinks.org/projects/current-global-projects/integrated-natural-resource-management-inrm/usaid-hearth-monitoring-and-evaluation-toolkit-2022-4-508.pdf/view"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usaidlearninglab.org/library/outcome-harvesting-complexity-aware-monitoring-approach"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INRM 2022-1">
  <a:themeElements>
    <a:clrScheme name="Custom 2">
      <a:dk1>
        <a:srgbClr val="000000"/>
      </a:dk1>
      <a:lt1>
        <a:srgbClr val="FFFFFF"/>
      </a:lt1>
      <a:dk2>
        <a:srgbClr val="002F6C"/>
      </a:dk2>
      <a:lt2>
        <a:srgbClr val="BA0C2F"/>
      </a:lt2>
      <a:accent1>
        <a:srgbClr val="0064BB"/>
      </a:accent1>
      <a:accent2>
        <a:srgbClr val="A2C4ED"/>
      </a:accent2>
      <a:accent3>
        <a:srgbClr val="651C2F"/>
      </a:accent3>
      <a:accent4>
        <a:srgbClr val="6A6261"/>
      </a:accent4>
      <a:accent5>
        <a:srgbClr val="878885"/>
      </a:accent5>
      <a:accent6>
        <a:srgbClr val="C9CBC7"/>
      </a:accent6>
      <a:hlink>
        <a:srgbClr val="0064B9"/>
      </a:hlink>
      <a:folHlink>
        <a:srgbClr val="A0C2E9"/>
      </a:folHlink>
    </a:clrScheme>
    <a:fontScheme name="Solstice">
      <a:majorFont>
        <a:latin typeface="Gill Sans MT"/>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INRM USAID 2021-10" id="{A5107712-0335-4C44-9EBD-29939CBDCC4A}" vid="{62D570DA-F41A-284E-9AEB-0CCB5B2D837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81BD81BD9FDF44A4A8483796F7566F" ma:contentTypeVersion="16" ma:contentTypeDescription="Create a new document." ma:contentTypeScope="" ma:versionID="f2969a6bfe76f194994587e0a0410888">
  <xsd:schema xmlns:xsd="http://www.w3.org/2001/XMLSchema" xmlns:xs="http://www.w3.org/2001/XMLSchema" xmlns:p="http://schemas.microsoft.com/office/2006/metadata/properties" xmlns:ns2="6de9b860-b3f0-454b-ad59-30bbf9bc5255" xmlns:ns3="232de6c4-d0fc-440e-b2d6-a396664edb32" targetNamespace="http://schemas.microsoft.com/office/2006/metadata/properties" ma:root="true" ma:fieldsID="fb6085b3595ddcc97fd7a56108c7940a" ns2:_="" ns3:_="">
    <xsd:import namespace="6de9b860-b3f0-454b-ad59-30bbf9bc5255"/>
    <xsd:import namespace="232de6c4-d0fc-440e-b2d6-a396664edb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e9b860-b3f0-454b-ad59-30bbf9bc52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37e096-6667-4091-8530-bf2d6f7ae66c}" ma:internalName="TaxCatchAll" ma:showField="CatchAllData" ma:web="6de9b860-b3f0-454b-ad59-30bbf9bc52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2de6c4-d0fc-440e-b2d6-a396664edb3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e14187-b4d4-4fc9-8c4a-20dc3ccbfd5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gFDJxFjQllyd8vmVQXm/o4+nPw6A==">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de9b860-b3f0-454b-ad59-30bbf9bc5255" xsi:nil="true"/>
    <lcf76f155ced4ddcb4097134ff3c332f xmlns="232de6c4-d0fc-440e-b2d6-a396664edb3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D37F2E-0411-4D90-8B69-846D3D89D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e9b860-b3f0-454b-ad59-30bbf9bc5255"/>
    <ds:schemaRef ds:uri="232de6c4-d0fc-440e-b2d6-a396664edb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77BDB56-5806-4B47-A27A-C6A4491EC859}">
  <ds:schemaRefs>
    <ds:schemaRef ds:uri="http://schemas.microsoft.com/office/2006/metadata/properties"/>
    <ds:schemaRef ds:uri="http://schemas.microsoft.com/office/infopath/2007/PartnerControls"/>
    <ds:schemaRef ds:uri="fb4cb492-e5b9-4187-bcdd-96002f49a92b"/>
    <ds:schemaRef ds:uri="640d5905-ba30-4455-9c2d-3e4d1382593f"/>
    <ds:schemaRef ds:uri="6de9b860-b3f0-454b-ad59-30bbf9bc5255"/>
    <ds:schemaRef ds:uri="232de6c4-d0fc-440e-b2d6-a396664edb32"/>
  </ds:schemaRefs>
</ds:datastoreItem>
</file>

<file path=customXml/itemProps4.xml><?xml version="1.0" encoding="utf-8"?>
<ds:datastoreItem xmlns:ds="http://schemas.openxmlformats.org/officeDocument/2006/customXml" ds:itemID="{1124D32C-FCFF-4576-9BA4-EC42EF7D82EF}">
  <ds:schemaRefs>
    <ds:schemaRef ds:uri="http://schemas.openxmlformats.org/officeDocument/2006/bibliography"/>
  </ds:schemaRefs>
</ds:datastoreItem>
</file>

<file path=customXml/itemProps5.xml><?xml version="1.0" encoding="utf-8"?>
<ds:datastoreItem xmlns:ds="http://schemas.openxmlformats.org/officeDocument/2006/customXml" ds:itemID="{9A27847C-D2DE-4720-A405-8FF1FDAE5D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1929</Words>
  <Characters>10996</Characters>
  <Application>Microsoft Office Word</Application>
  <DocSecurity>4</DocSecurity>
  <Lines>91</Lines>
  <Paragraphs>25</Paragraphs>
  <ScaleCrop>false</ScaleCrop>
  <Company/>
  <LinksUpToDate>false</LinksUpToDate>
  <CharactersWithSpaces>12900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Seybolt</dc:creator>
  <cp:lastModifiedBy>Anna Dunn</cp:lastModifiedBy>
  <cp:revision>2</cp:revision>
  <dcterms:created xsi:type="dcterms:W3CDTF">2022-08-05T21:10:00Z</dcterms:created>
  <dcterms:modified xsi:type="dcterms:W3CDTF">2022-08-05T21:10:00Z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0x0101003F81BD81BD9FDF44A4A8483796F7566F</vt:lpwstr>
  </property>
  <property fmtid="{D5CDD505-2E9C-101B-9397-08002B2CF9AE}" pid="3" name="MediaServiceImageTags">
    <vt:lpwstr/>
  </property>
</Properties>
</file>